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2026</w:t>
      </w:r>
    </w:p>
    <w:p>
      <w:pPr>
        <w:spacing w:after="0" w:line="32"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Casella Waste Systems, Inc.</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7"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ectPr>
          <w:pgSz w:w="11900" w:h="16838" w:orient="portrait"/>
          <w:cols w:equalWidth="0" w:num="1">
            <w:col w:w="11220"/>
          </w:cols>
          <w:pgMar w:left="320" w:top="1172" w:right="359" w:bottom="1440" w:gutter="0" w:footer="0" w:header="0"/>
        </w:sectPr>
      </w:pPr>
    </w:p>
    <w:p>
      <w:pPr>
        <w:spacing w:after="0" w:line="22"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7"/>
          <w:szCs w:val="17"/>
          <w:b w:val="1"/>
          <w:bCs w:val="1"/>
          <w:color w:val="auto"/>
        </w:rPr>
        <w:t>000-23211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03-0338873</w:t>
      </w:r>
    </w:p>
    <w:p>
      <w:pPr>
        <w:spacing w:after="0" w:line="37" w:lineRule="exact"/>
        <w:rPr>
          <w:sz w:val="24"/>
          <w:szCs w:val="24"/>
          <w:color w:val="auto"/>
        </w:rPr>
      </w:pPr>
    </w:p>
    <w:p>
      <w:pPr>
        <w:sectPr>
          <w:pgSz w:w="11900" w:h="16838" w:orient="portrait"/>
          <w:cols w:equalWidth="0" w:num="3">
            <w:col w:w="4520" w:space="720"/>
            <w:col w:w="3140" w:space="720"/>
            <w:col w:w="2120"/>
          </w:cols>
          <w:pgMar w:left="320" w:top="1172" w:right="359" w:bottom="1440" w:gutter="0" w:footer="0" w:header="0"/>
          <w:type w:val="continuous"/>
        </w:sectPr>
      </w:pP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2" w:lineRule="exact"/>
        <w:rPr>
          <w:sz w:val="24"/>
          <w:szCs w:val="24"/>
          <w:color w:val="auto"/>
        </w:rPr>
      </w:pPr>
    </w:p>
    <w:p>
      <w:pPr>
        <w:sectPr>
          <w:pgSz w:w="11900" w:h="16838" w:orient="portrait"/>
          <w:cols w:equalWidth="0" w:num="3">
            <w:col w:w="4480" w:space="720"/>
            <w:col w:w="3040" w:space="720"/>
            <w:col w:w="2260"/>
          </w:cols>
          <w:pgMar w:left="320" w:top="1172" w:right="359" w:bottom="1440" w:gutter="0" w:footer="0" w:header="0"/>
          <w:type w:val="continuous"/>
        </w:sectPr>
      </w:pPr>
    </w:p>
    <w:p>
      <w:pPr>
        <w:ind w:left="3320"/>
        <w:spacing w:after="0"/>
        <w:rPr>
          <w:sz w:val="20"/>
          <w:szCs w:val="20"/>
          <w:color w:val="auto"/>
        </w:rPr>
      </w:pPr>
      <w:r>
        <w:rPr>
          <w:rFonts w:ascii="Times New Roman" w:cs="Times New Roman" w:eastAsia="Times New Roman" w:hAnsi="Times New Roman"/>
          <w:sz w:val="14"/>
          <w:szCs w:val="14"/>
          <w:b w:val="1"/>
          <w:bCs w:val="1"/>
          <w:color w:val="auto"/>
        </w:rPr>
        <w:t>25 Greens Hill Lane,</w:t>
      </w:r>
    </w:p>
    <w:p>
      <w:pPr>
        <w:sectPr>
          <w:pgSz w:w="11900" w:h="16838" w:orient="portrait"/>
          <w:cols w:equalWidth="0" w:num="1">
            <w:col w:w="11220"/>
          </w:cols>
          <w:pgMar w:left="320" w:top="1172" w:right="359" w:bottom="1440" w:gutter="0" w:footer="0" w:header="0"/>
          <w:type w:val="continuous"/>
        </w:sectPr>
      </w:pPr>
    </w:p>
    <w:p>
      <w:pPr>
        <w:spacing w:after="0" w:line="42"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Rutland, Vermont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05701</w:t>
      </w:r>
    </w:p>
    <w:p>
      <w:pPr>
        <w:spacing w:after="0" w:line="42" w:lineRule="exact"/>
        <w:rPr>
          <w:sz w:val="24"/>
          <w:szCs w:val="24"/>
          <w:color w:val="auto"/>
        </w:rPr>
      </w:pPr>
    </w:p>
    <w:p>
      <w:pPr>
        <w:sectPr>
          <w:pgSz w:w="11900" w:h="16838" w:orient="portrait"/>
          <w:cols w:equalWidth="0" w:num="2">
            <w:col w:w="6380" w:space="720"/>
            <w:col w:w="4120"/>
          </w:cols>
          <w:pgMar w:left="320" w:top="1172" w:right="359" w:bottom="1440" w:gutter="0" w:footer="0" w:header="0"/>
          <w:type w:val="continuous"/>
        </w:sectPr>
      </w:pPr>
    </w:p>
    <w:p>
      <w:pPr>
        <w:ind w:left="27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6220" w:space="720"/>
            <w:col w:w="4280"/>
          </w:cols>
          <w:pgMar w:left="320" w:top="1172" w:right="359" w:bottom="1440" w:gutter="0" w:footer="0" w:header="0"/>
          <w:type w:val="continuous"/>
        </w:sectPr>
      </w:pP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(802) 775-0325</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pacing w:after="0" w:line="200" w:lineRule="exact"/>
        <w:rPr>
          <w:sz w:val="24"/>
          <w:szCs w:val="24"/>
          <w:color w:val="auto"/>
        </w:rPr>
      </w:pPr>
    </w:p>
    <w:p>
      <w:pPr>
        <w:spacing w:after="0" w:line="227" w:lineRule="exact"/>
        <w:rPr>
          <w:sz w:val="24"/>
          <w:szCs w:val="24"/>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54"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09"/>
        </w:trPr>
        <w:tc>
          <w:tcPr>
            <w:tcW w:w="3740" w:type="dxa"/>
            <w:vAlign w:val="bottom"/>
            <w:gridSpan w:val="2"/>
            <w:vMerge w:val="continue"/>
          </w:tcPr>
          <w:p>
            <w:pPr>
              <w:spacing w:after="0"/>
              <w:rPr>
                <w:sz w:val="9"/>
                <w:szCs w:val="9"/>
                <w:color w:val="auto"/>
              </w:rPr>
            </w:pPr>
          </w:p>
        </w:tc>
        <w:tc>
          <w:tcPr>
            <w:tcW w:w="2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86"/>
        </w:trPr>
        <w:tc>
          <w:tcPr>
            <w:tcW w:w="3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60" w:type="dxa"/>
            <w:vAlign w:val="bottom"/>
            <w:gridSpan w:val="2"/>
            <w:vMerge w:val="continue"/>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 per share</w:t>
            </w:r>
          </w:p>
        </w:tc>
        <w:tc>
          <w:tcPr>
            <w:tcW w:w="100" w:type="dxa"/>
            <w:vAlign w:val="bottom"/>
          </w:tcPr>
          <w:p>
            <w:pPr>
              <w:spacing w:after="0"/>
              <w:rPr>
                <w:sz w:val="16"/>
                <w:szCs w:val="16"/>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CWST</w:t>
            </w:r>
          </w:p>
        </w:tc>
        <w:tc>
          <w:tcPr>
            <w:tcW w:w="100" w:type="dxa"/>
            <w:vAlign w:val="bottom"/>
          </w:tcPr>
          <w:p>
            <w:pPr>
              <w:spacing w:after="0"/>
              <w:rPr>
                <w:sz w:val="16"/>
                <w:szCs w:val="16"/>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3"/>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34290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172"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0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At the 2026 Annual Meeting of Stockholders of Casella Waste Systems, Inc. (the “Company”) held on June 4, 2026 (the “Annual Meeting”), the Company’s stockholders voted on the following matters, which are described in detail in the Company’s definitive proxy statement for the Annual Meeting, filed with the Securities and Exchange Commission on April 17, 2026: (i) to elect four Class II directors, each to serve a term expiring at the 2029 Annual Meeting of Stockholders (“Proposal 1”); (ii) to approve, in an advisory “say-on-pay” vote, the compensation of the Company’s named executive officers (“Proposal 2”); and (iii) to ratify the appointment of RSM US LLP as the Company’s independent auditors for the fiscal year ending December 31, 2026 (“Proposal 3”). At the Annual Meeting, the stockholders of the Company elected the nominees of the Company’s Board of Directors (the “Board”), Michael L. Battles, Edmond R. Coletta, Joseph G. Doody and Emily Nagle Green, as Class II directors, and approved Proposal 2 and Proposal 3. At the Annual Meeting, the holders of shares of the Company’s Class A common stock and Class B common stock representing 70,229,069 votes were represented in person or by proxy, constituting a quorum.</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Set forth below are the final voting totals for the proposals acted upon at the Annual Meeting:</w:t>
      </w:r>
    </w:p>
    <w:p>
      <w:pPr>
        <w:spacing w:after="0" w:line="264" w:lineRule="exact"/>
        <w:rPr>
          <w:sz w:val="20"/>
          <w:szCs w:val="20"/>
          <w:color w:val="auto"/>
        </w:rPr>
      </w:pPr>
    </w:p>
    <w:p>
      <w:pPr>
        <w:ind w:left="1180" w:right="260" w:hanging="1160"/>
        <w:spacing w:after="0" w:line="250" w:lineRule="auto"/>
        <w:tabs>
          <w:tab w:leader="none" w:pos="1160" w:val="left"/>
        </w:tabs>
        <w:rPr>
          <w:sz w:val="20"/>
          <w:szCs w:val="20"/>
          <w:color w:val="auto"/>
        </w:rPr>
      </w:pPr>
      <w:r>
        <w:rPr>
          <w:rFonts w:ascii="Times New Roman" w:cs="Times New Roman" w:eastAsia="Times New Roman" w:hAnsi="Times New Roman"/>
          <w:sz w:val="18"/>
          <w:szCs w:val="18"/>
          <w:i w:val="1"/>
          <w:iCs w:val="1"/>
          <w:color w:val="auto"/>
        </w:rPr>
        <w:t>Proposal 1:</w:t>
      </w:r>
      <w:r>
        <w:rPr>
          <w:sz w:val="20"/>
          <w:szCs w:val="20"/>
          <w:color w:val="auto"/>
        </w:rPr>
        <w:tab/>
      </w:r>
      <w:r>
        <w:rPr>
          <w:rFonts w:ascii="Times New Roman" w:cs="Times New Roman" w:eastAsia="Times New Roman" w:hAnsi="Times New Roman"/>
          <w:sz w:val="18"/>
          <w:szCs w:val="18"/>
          <w:color w:val="auto"/>
        </w:rPr>
        <w:t>The following nominees were elected to the Board as Class II directors, each to serve for a term expiring at the 2029 Annual Meeting of Stockholders.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L. Battles</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50,246,273</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18,219,910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1,762,886</w:t>
            </w:r>
          </w:p>
        </w:tc>
      </w:tr>
      <w:tr>
        <w:trPr>
          <w:trHeight w:val="23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Edmond R. Coletta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67,304,218</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1,161,965</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1,762,886</w:t>
            </w: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G. Doody (Class A Director)</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52,671,841</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5,912,342</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1,762,886</w:t>
            </w:r>
          </w:p>
        </w:tc>
      </w:tr>
      <w:tr>
        <w:trPr>
          <w:trHeight w:val="234"/>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Emily Nagle Green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45,499,951</w:t>
            </w: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22,966,232</w:t>
            </w: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1,762,886</w:t>
            </w: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terms of the following directors continued after the Annual Meeting: John W. Casella, William P. Hulligan, Rose Stuckey Kirk, Michael 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Burke, Douglas R. Casella and Gary Sova.</w:t>
      </w:r>
    </w:p>
    <w:p>
      <w:pPr>
        <w:spacing w:after="0" w:line="35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i w:val="1"/>
          <w:iCs w:val="1"/>
          <w:color w:val="auto"/>
        </w:rPr>
        <w:t>Proposal 2:</w:t>
      </w:r>
      <w:r>
        <w:rPr>
          <w:sz w:val="20"/>
          <w:szCs w:val="20"/>
          <w:color w:val="auto"/>
        </w:rPr>
        <w:tab/>
      </w:r>
      <w:r>
        <w:rPr>
          <w:rFonts w:ascii="Times New Roman" w:cs="Times New Roman" w:eastAsia="Times New Roman" w:hAnsi="Times New Roman"/>
          <w:sz w:val="17"/>
          <w:szCs w:val="17"/>
          <w:color w:val="auto"/>
        </w:rPr>
        <w:t>An advisory “say-on-pay” vote on the compensation of the Company’s named executive officers was approved.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66,322,467</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1,840,247</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303,469</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1,762,886</w:t>
            </w:r>
          </w:p>
        </w:tc>
      </w:tr>
    </w:tbl>
    <w:p>
      <w:pPr>
        <w:spacing w:after="0" w:line="200" w:lineRule="exact"/>
        <w:rPr>
          <w:sz w:val="20"/>
          <w:szCs w:val="20"/>
          <w:color w:val="auto"/>
        </w:rPr>
      </w:pPr>
    </w:p>
    <w:p>
      <w:pPr>
        <w:spacing w:after="0" w:line="239" w:lineRule="exact"/>
        <w:rPr>
          <w:sz w:val="20"/>
          <w:szCs w:val="20"/>
          <w:color w:val="auto"/>
        </w:rPr>
      </w:pPr>
    </w:p>
    <w:p>
      <w:pPr>
        <w:ind w:left="1180" w:right="100" w:hanging="1160"/>
        <w:spacing w:after="0" w:line="237" w:lineRule="auto"/>
        <w:tabs>
          <w:tab w:leader="none" w:pos="1160" w:val="left"/>
        </w:tabs>
        <w:rPr>
          <w:sz w:val="20"/>
          <w:szCs w:val="20"/>
          <w:color w:val="auto"/>
        </w:rPr>
      </w:pPr>
      <w:r>
        <w:rPr>
          <w:rFonts w:ascii="Times New Roman" w:cs="Times New Roman" w:eastAsia="Times New Roman" w:hAnsi="Times New Roman"/>
          <w:sz w:val="18"/>
          <w:szCs w:val="18"/>
          <w:i w:val="1"/>
          <w:iCs w:val="1"/>
          <w:color w:val="auto"/>
        </w:rPr>
        <w:t>Proposal 3:</w:t>
      </w:r>
      <w:r>
        <w:rPr>
          <w:sz w:val="20"/>
          <w:szCs w:val="20"/>
          <w:color w:val="auto"/>
        </w:rPr>
        <w:tab/>
      </w:r>
      <w:r>
        <w:rPr>
          <w:rFonts w:ascii="Times New Roman" w:cs="Times New Roman" w:eastAsia="Times New Roman" w:hAnsi="Times New Roman"/>
          <w:sz w:val="18"/>
          <w:szCs w:val="18"/>
          <w:color w:val="auto"/>
        </w:rPr>
        <w:t>The appointment of RSM US LLP, an independent registered public accounting firm, as the Company’s independent auditors for the fiscal year ending December 31, 2026 was ratified.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r>
      <w:tr>
        <w:trPr>
          <w:trHeight w:val="223"/>
        </w:trPr>
        <w:tc>
          <w:tcPr>
            <w:tcW w:w="366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67,536,781</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2,672,490</w:t>
            </w:r>
          </w:p>
        </w:tc>
        <w:tc>
          <w:tcPr>
            <w:tcW w:w="8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19,798</w:t>
            </w:r>
          </w:p>
        </w:tc>
        <w:tc>
          <w:tcPr>
            <w:tcW w:w="20" w:type="dxa"/>
            <w:vAlign w:val="bottom"/>
          </w:tcPr>
          <w:p>
            <w:pPr>
              <w:spacing w:after="0"/>
              <w:rPr>
                <w:sz w:val="19"/>
                <w:szCs w:val="19"/>
                <w:color w:val="auto"/>
              </w:rPr>
            </w:pPr>
          </w:p>
        </w:tc>
      </w:tr>
      <w:tr>
        <w:trPr>
          <w:trHeight w:val="850"/>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109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666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CASELLA WASTE SYSTEMS, INC.</w:t>
            </w:r>
          </w:p>
        </w:tc>
      </w:tr>
      <w:tr>
        <w:trPr>
          <w:trHeight w:val="499"/>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16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r>
      <w:tr>
        <w:trPr>
          <w:trHeight w:val="218"/>
        </w:trPr>
        <w:tc>
          <w:tcPr>
            <w:tcW w:w="2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34"/>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180"/>
      </w:cols>
      <w:pgMar w:left="320" w:top="12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2026-06-08T15:57:24Z</dcterms:created>
  <dcterms:modified xsi:type="dcterms:W3CDTF">2026-06-08T15:57:24Z</dcterms:modified>
</cp:coreProperties>
</file>