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October 1, 2026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Casella Waste Systems,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000-23211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03-0338873</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50" w:type="dxa"/>
        <w:jc w:val="center"/>
        <w:tblInd w:w="0" w:type="dxa"/>
        <w:tblLayout w:type="fixed"/>
        <w:tblCellMar>
          <w:top w:w="28" w:type="dxa"/>
          <w:left w:w="28" w:type="dxa"/>
          <w:bottom w:w="28" w:type="dxa"/>
          <w:right w:w="28" w:type="dxa"/>
        </w:tblCellMar>
      </w:tblPr>
      <w:tblGrid>
        <w:gridCol w:w="541"/>
        <w:gridCol w:w="476"/>
        <w:gridCol w:w="476"/>
        <w:gridCol w:w="476"/>
        <w:gridCol w:w="476"/>
        <w:gridCol w:w="476"/>
        <w:gridCol w:w="272"/>
        <w:gridCol w:w="272"/>
        <w:gridCol w:w="385"/>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Greens Hill Lane,</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Rutland,</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Vermont</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05701</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(802) 775-0325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60" w:after="120"/>
        <w:ind w:left="0" w:right="0" w:firstLine="54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100"/>
        <w:ind w:left="0" w:right="0" w:firstLine="540"/>
        <w:jc w:val="left"/>
        <w:rPr/>
      </w:pPr>
      <w:r>
        <w:rPr>
          <w:rFonts w:ascii="Times New Roman;serif" w:hAnsi="Times New Roman;serif"/>
          <w:b w:val="false"/>
          <w:color w:val="000000"/>
          <w:sz w:val="20"/>
        </w:rPr>
        <w:t>Securities registered pursuant to Section 12(b) of the Act:</w:t>
      </w:r>
      <w:r>
        <w:rPr>
          <w:color w:val="000000"/>
        </w:rPr>
        <w:t xml:space="preserve"> </w:t>
      </w:r>
    </w:p>
    <w:tbl>
      <w:tblPr>
        <w:tblW w:w="7342" w:type="dxa"/>
        <w:jc w:val="left"/>
        <w:tblInd w:w="0" w:type="dxa"/>
        <w:tblLayout w:type="fixed"/>
        <w:tblCellMar>
          <w:top w:w="28" w:type="dxa"/>
          <w:left w:w="28" w:type="dxa"/>
          <w:bottom w:w="28" w:type="dxa"/>
          <w:right w:w="28" w:type="dxa"/>
        </w:tblCellMar>
      </w:tblPr>
      <w:tblGrid>
        <w:gridCol w:w="1285"/>
        <w:gridCol w:w="1127"/>
        <w:gridCol w:w="1142"/>
        <w:gridCol w:w="109"/>
        <w:gridCol w:w="109"/>
        <w:gridCol w:w="109"/>
        <w:gridCol w:w="274"/>
        <w:gridCol w:w="274"/>
        <w:gridCol w:w="276"/>
        <w:gridCol w:w="109"/>
        <w:gridCol w:w="109"/>
        <w:gridCol w:w="109"/>
        <w:gridCol w:w="676"/>
        <w:gridCol w:w="676"/>
        <w:gridCol w:w="958"/>
      </w:tblGrid>
      <w:tr>
        <w:trPr/>
        <w:tc>
          <w:tcPr>
            <w:tcW w:w="12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CWST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6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120"/>
        <w:ind w:left="0" w:right="0" w:firstLine="54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60"/>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76" w:before="0" w:after="0"/>
        <w:ind w:left="0" w:right="0" w:hanging="1440"/>
        <w:jc w:val="left"/>
        <w:rPr/>
      </w:pPr>
      <w:r>
        <w:rPr>
          <w:rFonts w:ascii="Times New Roman;serif" w:hAnsi="Times New Roman;serif"/>
          <w:b/>
          <w:color w:val="000000"/>
          <w:sz w:val="20"/>
        </w:rPr>
        <w:t>Item 7.01</w:t>
      </w:r>
      <w:r>
        <w:rPr>
          <w:color w:val="000000"/>
        </w:rPr>
        <w:t xml:space="preserve"> </w:t>
      </w:r>
      <w:r>
        <w:rPr>
          <w:rFonts w:ascii="Times New Roman;serif" w:hAnsi="Times New Roman;serif"/>
          <w:b/>
          <w:color w:val="000000"/>
          <w:sz w:val="20"/>
        </w:rPr>
        <w:t>Regulation FD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October 1, 2026, Casella Waste Systems, Inc. (the “Company”) announced to customers, regulators and the host community of the North Country Environmental Services landfill located in Bethlehem, New Hampshire (the “NCES Landfill”) that December 31, 2026 will be the final day that the NCES Landfill accepts municipal solid waste for disposal (the “Closure Date”). The Company had previously reported its expectation that the NCES Landfill would stop accepting waste by the end of 2027, but the Company subsequently modified such timing after an evaluation of the remaining permitted airspace, current and projected fill rates, and other operational factors. The modified timing of the Closure Date will result in a higher level of landfill amortization expense in the fourth quarter of 2026 than previously anticipated, but such expense is not anticipated to have a material impact on the Company’s financial results for the fourth quarter of 2026 and the fiscal year ending December 31, 2026.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Safe Harbor Statement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matters discussed in this Form 8-K, including, but not limited to, the statements regarding our intentions, beliefs or current expectations concerning, among other things, the level of landfill amortization expense and its impact on the Company’s financial results, are “forward-looking statements” intended to qualify for the safe harbors from liability established by the Private Securities Litigation Reform Act of 1995. These forward-looking statements can generally be identified as such by the context of the statements, including words such as “believe,” “expect,” “anticipate,” “plan,” “may,” “would,” “intend,” “estimate”, “projects,” “will,” “guidance” and other similar expressions, whether in the negative or affirmative. These forward-looking statements are based on current expectations, estimates, forecasts and projections about the industry and markets in which the Company operates and management’s beliefs and assumptions. The Company cannot guarantee that it will achieve the financial results, plans, intentions, expectations or guidance disclosed in the forward-looking statements made. Such forward-looking statements, and all phases of the Company's operations, involve a number of risks and uncertainties, any one or more of which could cause actual results to differ materially from those described in its 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Such risks and uncertainties include or relate to, among other things, the following: the Company may be unable to adequately increase prices or drive operating efficiencies to adequately offset increased costs and inflationary pressures, including increased fuel prices, wages, and tariffs; it is difficult to determine the timing or future impact of a sustained economic slowdown that could negatively affect our operations and financial results; the increasing focus on per - and polyfluoroalkyl substances (“PFAS”) and other emerging contaminants, including the recent designation by the U.S. Environmental Protection Agency of two PFAS chemicals as hazardous substances under the Comprehensive Environmental Response, Compensation, and Liability Act, will likely lead to increased compliance and remediation costs and litigation risks; adverse weather conditions may negatively impact the Company's revenues and its operating margin; the Company may be unable to increase volumes at its landfills or improve its route profitability; the Company may be unable to reduce costs or increase pricing or volumes sufficiently to achieve estimated Adjusted EBITDA and other targets; landfill operations and permit status may be affected by factors outside the Company's control; the Company may be required to incur capital expenditures in excess of its estimates; the Company's insurance coverage and self-insurance reserves may be inadequate to cover all of its risk exposures; fluctuations in energy pricing or the commodity pricing of its recyclables may make it more difficult for the Company to predict its results of operations or meet its estimates; disruptions or limited access to domestic and global transportation or the imposition of tariffs could impact the Company's ability to sell recyclables into end markets; the Company may be unable to achieve its acquisition or development targets on favorable pricing or at all, including due to the failure to satisfy all closing conditions and to receive required regulatory approvals that may prevent closing of any announced transaction; the Company may not be able to successfully integrate and recognize the expected financial benefits from acquired businesses; and the Company may incur environmental charges or asset impairments in the future.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are a number of other important risks and uncertainties that could cause the Company's actual results to differ materially from those indicated by such forward-looking statements. These additional risks and uncertainties include, without limitation, those detailed in Item 1A. “Risk Factors” in the Company's most recently filed Form 10-K and in other filings that the Company may make with the Securities and Exchange Commission in the future.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undertakes no obligation to update publicly any forward-looking statements whether as a result of new information, future events or otherwise, except as required by law.</w:t>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121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9111" w:type="dxa"/>
        <w:jc w:val="left"/>
        <w:tblInd w:w="0" w:type="dxa"/>
        <w:tblLayout w:type="fixed"/>
        <w:tblCellMar>
          <w:top w:w="28" w:type="dxa"/>
          <w:left w:w="28" w:type="dxa"/>
          <w:bottom w:w="28" w:type="dxa"/>
          <w:right w:w="28" w:type="dxa"/>
        </w:tblCellMar>
      </w:tblPr>
      <w:tblGrid>
        <w:gridCol w:w="689"/>
        <w:gridCol w:w="606"/>
        <w:gridCol w:w="610"/>
        <w:gridCol w:w="109"/>
        <w:gridCol w:w="109"/>
        <w:gridCol w:w="109"/>
        <w:gridCol w:w="352"/>
        <w:gridCol w:w="352"/>
        <w:gridCol w:w="352"/>
        <w:gridCol w:w="352"/>
        <w:gridCol w:w="352"/>
        <w:gridCol w:w="352"/>
        <w:gridCol w:w="1435"/>
        <w:gridCol w:w="1435"/>
        <w:gridCol w:w="1525"/>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CASELLA WASTE SYSTEMS,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1160</Words>
  <Characters>6820</Characters>
  <CharactersWithSpaces>7942</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