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233680</wp:posOffset>
            </wp:positionH>
            <wp:positionV relativeFrom="page">
              <wp:posOffset>697230</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662940</wp:posOffset>
            </wp:positionV>
            <wp:extent cx="70891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890"/>
                    </a:xfrm>
                    <a:prstGeom prst="rect">
                      <a:avLst/>
                    </a:prstGeom>
                    <a:noFill/>
                  </pic:spPr>
                </pic:pic>
              </a:graphicData>
            </a:graphic>
          </wp:anchor>
        </w:drawing>
        <w:t>UNITED STATES</w:t>
      </w:r>
    </w:p>
    <w:p>
      <w:pPr>
        <w:spacing w:after="0" w:line="5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0" w:lineRule="exact"/>
        <w:rPr>
          <w:sz w:val="24"/>
          <w:szCs w:val="24"/>
          <w:color w:val="auto"/>
        </w:rPr>
      </w:pPr>
    </w:p>
    <w:p>
      <w:pPr>
        <w:ind w:left="3360"/>
        <w:spacing w:after="0"/>
        <w:rPr>
          <w:sz w:val="20"/>
          <w:szCs w:val="20"/>
          <w:color w:val="auto"/>
        </w:rPr>
      </w:pPr>
      <w:r>
        <w:rPr>
          <w:rFonts w:ascii="Times New Roman" w:cs="Times New Roman" w:eastAsia="Times New Roman" w:hAnsi="Times New Roman"/>
          <w:sz w:val="22"/>
          <w:szCs w:val="22"/>
          <w:b w:val="1"/>
          <w:bCs w:val="1"/>
          <w:color w:val="auto"/>
        </w:rPr>
        <w:t>__________________________________________</w:t>
      </w:r>
    </w:p>
    <w:p>
      <w:pPr>
        <w:spacing w:after="0" w:line="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 w:lineRule="exact"/>
        <w:rPr>
          <w:sz w:val="24"/>
          <w:szCs w:val="24"/>
          <w:color w:val="auto"/>
        </w:rPr>
      </w:pPr>
    </w:p>
    <w:p>
      <w:pPr>
        <w:ind w:left="3360"/>
        <w:spacing w:after="0"/>
        <w:rPr>
          <w:sz w:val="20"/>
          <w:szCs w:val="20"/>
          <w:color w:val="auto"/>
        </w:rPr>
      </w:pPr>
      <w:r>
        <w:rPr>
          <w:rFonts w:ascii="Times New Roman" w:cs="Times New Roman" w:eastAsia="Times New Roman" w:hAnsi="Times New Roman"/>
          <w:sz w:val="22"/>
          <w:szCs w:val="22"/>
          <w:b w:val="1"/>
          <w:bCs w:val="1"/>
          <w:color w:val="auto"/>
        </w:rPr>
        <w:t>__________________________________________</w:t>
      </w:r>
    </w:p>
    <w:p>
      <w:pPr>
        <w:spacing w:after="0" w:line="2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1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26, 2026</w:t>
      </w:r>
    </w:p>
    <w:p>
      <w:pPr>
        <w:spacing w:after="0" w:line="32" w:lineRule="exact"/>
        <w:rPr>
          <w:sz w:val="24"/>
          <w:szCs w:val="24"/>
          <w:color w:val="auto"/>
        </w:rPr>
      </w:pPr>
    </w:p>
    <w:p>
      <w:pPr>
        <w:ind w:left="3360"/>
        <w:spacing w:after="0"/>
        <w:rPr>
          <w:sz w:val="20"/>
          <w:szCs w:val="20"/>
          <w:color w:val="auto"/>
        </w:rPr>
      </w:pPr>
      <w:r>
        <w:rPr>
          <w:rFonts w:ascii="Times New Roman" w:cs="Times New Roman" w:eastAsia="Times New Roman" w:hAnsi="Times New Roman"/>
          <w:sz w:val="22"/>
          <w:szCs w:val="22"/>
          <w:b w:val="1"/>
          <w:bCs w:val="1"/>
          <w:color w:val="auto"/>
        </w:rPr>
        <w:t>__________________________________________</w:t>
      </w:r>
    </w:p>
    <w:p>
      <w:pPr>
        <w:spacing w:after="0" w:line="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Casella Waste Systems, Inc.</w:t>
      </w:r>
    </w:p>
    <w:p>
      <w:pPr>
        <w:spacing w:after="0" w:line="2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7" w:lineRule="exact"/>
        <w:rPr>
          <w:sz w:val="24"/>
          <w:szCs w:val="24"/>
          <w:color w:val="auto"/>
        </w:rPr>
      </w:pPr>
    </w:p>
    <w:p>
      <w:pPr>
        <w:ind w:left="3360"/>
        <w:spacing w:after="0"/>
        <w:rPr>
          <w:sz w:val="20"/>
          <w:szCs w:val="20"/>
          <w:color w:val="auto"/>
        </w:rPr>
      </w:pPr>
      <w:r>
        <w:rPr>
          <w:rFonts w:ascii="Times New Roman" w:cs="Times New Roman" w:eastAsia="Times New Roman" w:hAnsi="Times New Roman"/>
          <w:sz w:val="22"/>
          <w:szCs w:val="22"/>
          <w:b w:val="1"/>
          <w:bCs w:val="1"/>
          <w:color w:val="auto"/>
        </w:rPr>
        <w:t>__________________________________________</w:t>
      </w:r>
    </w:p>
    <w:p>
      <w:pPr>
        <w:sectPr>
          <w:pgSz w:w="11900" w:h="16838" w:orient="portrait"/>
          <w:cols w:equalWidth="0" w:num="1">
            <w:col w:w="11220"/>
          </w:cols>
          <w:pgMar w:left="320" w:top="1172" w:right="359" w:bottom="1440" w:gutter="0" w:footer="0" w:header="0"/>
        </w:sectPr>
      </w:pPr>
    </w:p>
    <w:p>
      <w:pPr>
        <w:spacing w:after="0" w:line="22" w:lineRule="exact"/>
        <w:rPr>
          <w:sz w:val="24"/>
          <w:szCs w:val="24"/>
          <w:color w:val="auto"/>
        </w:rPr>
      </w:pPr>
    </w:p>
    <w:p>
      <w:pPr>
        <w:ind w:left="13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jc w:val="center"/>
        <w:ind w:right="2380"/>
        <w:spacing w:after="0"/>
        <w:rPr>
          <w:sz w:val="20"/>
          <w:szCs w:val="20"/>
          <w:color w:val="auto"/>
        </w:rPr>
      </w:pPr>
      <w:r>
        <w:rPr>
          <w:rFonts w:ascii="Times New Roman" w:cs="Times New Roman" w:eastAsia="Times New Roman" w:hAnsi="Times New Roman"/>
          <w:sz w:val="17"/>
          <w:szCs w:val="17"/>
          <w:b w:val="1"/>
          <w:bCs w:val="1"/>
          <w:color w:val="auto"/>
        </w:rPr>
        <w:t>000-23211</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03-0338873</w:t>
      </w:r>
    </w:p>
    <w:p>
      <w:pPr>
        <w:spacing w:after="0" w:line="37" w:lineRule="exact"/>
        <w:rPr>
          <w:sz w:val="24"/>
          <w:szCs w:val="24"/>
          <w:color w:val="auto"/>
        </w:rPr>
      </w:pPr>
    </w:p>
    <w:p>
      <w:pPr>
        <w:sectPr>
          <w:pgSz w:w="11900" w:h="16838" w:orient="portrait"/>
          <w:cols w:equalWidth="0" w:num="3">
            <w:col w:w="4520" w:space="720"/>
            <w:col w:w="3140" w:space="720"/>
            <w:col w:w="2120"/>
          </w:cols>
          <w:pgMar w:left="320" w:top="1172" w:right="359" w:bottom="1440" w:gutter="0" w:footer="0" w:header="0"/>
          <w:type w:val="continuous"/>
        </w:sectPr>
      </w:pP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2" w:lineRule="exact"/>
        <w:rPr>
          <w:sz w:val="24"/>
          <w:szCs w:val="24"/>
          <w:color w:val="auto"/>
        </w:rPr>
      </w:pPr>
    </w:p>
    <w:p>
      <w:pPr>
        <w:sectPr>
          <w:pgSz w:w="11900" w:h="16838" w:orient="portrait"/>
          <w:cols w:equalWidth="0" w:num="3">
            <w:col w:w="4480" w:space="720"/>
            <w:col w:w="3040" w:space="720"/>
            <w:col w:w="2260"/>
          </w:cols>
          <w:pgMar w:left="320" w:top="1172" w:right="359" w:bottom="1440" w:gutter="0" w:footer="0" w:header="0"/>
          <w:type w:val="continuous"/>
        </w:sectPr>
      </w:pPr>
    </w:p>
    <w:p>
      <w:pPr>
        <w:ind w:left="3320"/>
        <w:spacing w:after="0"/>
        <w:rPr>
          <w:sz w:val="20"/>
          <w:szCs w:val="20"/>
          <w:color w:val="auto"/>
        </w:rPr>
      </w:pPr>
      <w:r>
        <w:rPr>
          <w:rFonts w:ascii="Times New Roman" w:cs="Times New Roman" w:eastAsia="Times New Roman" w:hAnsi="Times New Roman"/>
          <w:sz w:val="14"/>
          <w:szCs w:val="14"/>
          <w:b w:val="1"/>
          <w:bCs w:val="1"/>
          <w:color w:val="auto"/>
        </w:rPr>
        <w:t>25 Greens Hill Lane,</w:t>
      </w:r>
    </w:p>
    <w:p>
      <w:pPr>
        <w:sectPr>
          <w:pgSz w:w="11900" w:h="16838" w:orient="portrait"/>
          <w:cols w:equalWidth="0" w:num="1">
            <w:col w:w="11220"/>
          </w:cols>
          <w:pgMar w:left="320" w:top="1172" w:right="359" w:bottom="1440" w:gutter="0" w:footer="0" w:header="0"/>
          <w:type w:val="continuous"/>
        </w:sectPr>
      </w:pPr>
    </w:p>
    <w:p>
      <w:pPr>
        <w:spacing w:after="0" w:line="42"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14"/>
          <w:szCs w:val="14"/>
          <w:b w:val="1"/>
          <w:bCs w:val="1"/>
          <w:color w:val="auto"/>
        </w:rPr>
        <w:t>Rutland, Vermont</w:t>
      </w:r>
    </w:p>
    <w:p>
      <w:pPr>
        <w:spacing w:after="0" w:line="20" w:lineRule="exact"/>
        <w:rPr>
          <w:sz w:val="24"/>
          <w:szCs w:val="24"/>
          <w:color w:val="auto"/>
        </w:rPr>
      </w:pPr>
      <w:r>
        <w:rPr>
          <w:sz w:val="24"/>
          <w:szCs w:val="24"/>
          <w:color w:val="auto"/>
        </w:rPr>
        <w:br w:type="column"/>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05701</w:t>
      </w:r>
    </w:p>
    <w:p>
      <w:pPr>
        <w:spacing w:after="0" w:line="42" w:lineRule="exact"/>
        <w:rPr>
          <w:sz w:val="24"/>
          <w:szCs w:val="24"/>
          <w:color w:val="auto"/>
        </w:rPr>
      </w:pPr>
    </w:p>
    <w:p>
      <w:pPr>
        <w:sectPr>
          <w:pgSz w:w="11900" w:h="16838" w:orient="portrait"/>
          <w:cols w:equalWidth="0" w:num="2">
            <w:col w:w="6380" w:space="720"/>
            <w:col w:w="4120"/>
          </w:cols>
          <w:pgMar w:left="320" w:top="1172" w:right="359" w:bottom="1440" w:gutter="0" w:footer="0" w:header="0"/>
          <w:type w:val="continuous"/>
        </w:sectPr>
      </w:pPr>
    </w:p>
    <w:p>
      <w:pPr>
        <w:ind w:left="27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200" w:lineRule="exact"/>
        <w:rPr>
          <w:sz w:val="24"/>
          <w:szCs w:val="24"/>
          <w:color w:val="auto"/>
        </w:rPr>
      </w:pPr>
    </w:p>
    <w:p>
      <w:pPr>
        <w:sectPr>
          <w:pgSz w:w="11900" w:h="16838" w:orient="portrait"/>
          <w:cols w:equalWidth="0" w:num="2">
            <w:col w:w="6220" w:space="720"/>
            <w:col w:w="4280"/>
          </w:cols>
          <w:pgMar w:left="320" w:top="1172" w:right="359" w:bottom="1440" w:gutter="0" w:footer="0" w:header="0"/>
          <w:type w:val="continuous"/>
        </w:sectPr>
      </w:pPr>
    </w:p>
    <w:p>
      <w:pPr>
        <w:spacing w:after="0" w:line="37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(802) 775-0325</w:t>
      </w:r>
    </w:p>
    <w:p>
      <w:pPr>
        <w:spacing w:after="0" w:line="2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11" w:lineRule="exact"/>
        <w:rPr>
          <w:sz w:val="24"/>
          <w:szCs w:val="24"/>
          <w:color w:val="auto"/>
        </w:rPr>
      </w:pPr>
    </w:p>
    <w:p>
      <w:pPr>
        <w:ind w:left="3360"/>
        <w:spacing w:after="0"/>
        <w:rPr>
          <w:sz w:val="20"/>
          <w:szCs w:val="20"/>
          <w:color w:val="auto"/>
        </w:rPr>
      </w:pPr>
      <w:r>
        <w:rPr>
          <w:rFonts w:ascii="Times New Roman" w:cs="Times New Roman" w:eastAsia="Times New Roman" w:hAnsi="Times New Roman"/>
          <w:sz w:val="22"/>
          <w:szCs w:val="22"/>
          <w:b w:val="1"/>
          <w:bCs w:val="1"/>
          <w:color w:val="auto"/>
        </w:rPr>
        <w:t>__________________________________________</w:t>
      </w:r>
    </w:p>
    <w:p>
      <w:pPr>
        <w:spacing w:after="0" w:line="200" w:lineRule="exact"/>
        <w:rPr>
          <w:sz w:val="24"/>
          <w:szCs w:val="24"/>
          <w:color w:val="auto"/>
        </w:rPr>
      </w:pPr>
    </w:p>
    <w:p>
      <w:pPr>
        <w:spacing w:after="0" w:line="227" w:lineRule="exact"/>
        <w:rPr>
          <w:sz w:val="24"/>
          <w:szCs w:val="24"/>
          <w:color w:val="auto"/>
        </w:rPr>
      </w:pPr>
    </w:p>
    <w:p>
      <w:pPr>
        <w:ind w:right="180" w:firstLine="486"/>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54" w:lineRule="exact"/>
        <w:rPr>
          <w:sz w:val="24"/>
          <w:szCs w:val="24"/>
          <w:color w:val="auto"/>
        </w:rPr>
      </w:pPr>
    </w:p>
    <w:p>
      <w:pPr>
        <w:ind w:left="540" w:hanging="532"/>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540" w:hanging="532"/>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540" w:hanging="532"/>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540" w:hanging="532"/>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17"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7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8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09"/>
        </w:trPr>
        <w:tc>
          <w:tcPr>
            <w:tcW w:w="3740" w:type="dxa"/>
            <w:vAlign w:val="bottom"/>
            <w:gridSpan w:val="2"/>
            <w:vMerge w:val="continue"/>
          </w:tcPr>
          <w:p>
            <w:pPr>
              <w:spacing w:after="0"/>
              <w:rPr>
                <w:sz w:val="9"/>
                <w:szCs w:val="9"/>
                <w:color w:val="auto"/>
              </w:rPr>
            </w:pPr>
          </w:p>
        </w:tc>
        <w:tc>
          <w:tcPr>
            <w:tcW w:w="28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86"/>
        </w:trPr>
        <w:tc>
          <w:tcPr>
            <w:tcW w:w="3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60" w:type="dxa"/>
            <w:vAlign w:val="bottom"/>
            <w:gridSpan w:val="2"/>
            <w:vMerge w:val="continue"/>
          </w:tcPr>
          <w:p>
            <w:pPr>
              <w:spacing w:after="0"/>
              <w:rPr>
                <w:sz w:val="7"/>
                <w:szCs w:val="7"/>
                <w:color w:val="auto"/>
              </w:rPr>
            </w:pPr>
          </w:p>
        </w:tc>
        <w:tc>
          <w:tcPr>
            <w:tcW w:w="3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7"/>
        </w:trPr>
        <w:tc>
          <w:tcPr>
            <w:tcW w:w="36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Class A common stock, $0.01 par value per share</w:t>
            </w:r>
          </w:p>
        </w:tc>
        <w:tc>
          <w:tcPr>
            <w:tcW w:w="100" w:type="dxa"/>
            <w:vAlign w:val="bottom"/>
          </w:tcPr>
          <w:p>
            <w:pPr>
              <w:spacing w:after="0"/>
              <w:rPr>
                <w:sz w:val="16"/>
                <w:szCs w:val="16"/>
                <w:color w:val="auto"/>
              </w:rPr>
            </w:pPr>
          </w:p>
        </w:tc>
        <w:tc>
          <w:tcPr>
            <w:tcW w:w="2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CWST</w:t>
            </w:r>
          </w:p>
        </w:tc>
        <w:tc>
          <w:tcPr>
            <w:tcW w:w="100" w:type="dxa"/>
            <w:vAlign w:val="bottom"/>
          </w:tcPr>
          <w:p>
            <w:pPr>
              <w:spacing w:after="0"/>
              <w:rPr>
                <w:sz w:val="16"/>
                <w:szCs w:val="16"/>
                <w:color w:val="auto"/>
              </w:rPr>
            </w:pPr>
          </w:p>
        </w:tc>
        <w:tc>
          <w:tcPr>
            <w:tcW w:w="3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c>
          <w:tcPr>
            <w:tcW w:w="0" w:type="dxa"/>
            <w:vAlign w:val="bottom"/>
          </w:tcPr>
          <w:p>
            <w:pPr>
              <w:spacing w:after="0"/>
              <w:rPr>
                <w:sz w:val="1"/>
                <w:szCs w:val="1"/>
                <w:color w:val="auto"/>
              </w:rPr>
            </w:pPr>
          </w:p>
        </w:tc>
      </w:tr>
      <w:tr>
        <w:trPr>
          <w:trHeight w:val="193"/>
        </w:trPr>
        <w:tc>
          <w:tcPr>
            <w:tcW w:w="3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Select Market)</w:t>
            </w:r>
          </w:p>
        </w:tc>
        <w:tc>
          <w:tcPr>
            <w:tcW w:w="0" w:type="dxa"/>
            <w:vAlign w:val="bottom"/>
          </w:tcPr>
          <w:p>
            <w:pPr>
              <w:spacing w:after="0"/>
              <w:rPr>
                <w:sz w:val="1"/>
                <w:szCs w:val="1"/>
                <w:color w:val="auto"/>
              </w:rPr>
            </w:pPr>
          </w:p>
        </w:tc>
      </w:tr>
    </w:tbl>
    <w:p>
      <w:pPr>
        <w:spacing w:after="0" w:line="181" w:lineRule="exact"/>
        <w:rPr>
          <w:sz w:val="24"/>
          <w:szCs w:val="24"/>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ind w:left="50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firstLine="486"/>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989965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68580</wp:posOffset>
            </wp:positionV>
            <wp:extent cx="70891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34290</wp:posOffset>
            </wp:positionV>
            <wp:extent cx="70891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20"/>
          </w:cols>
          <w:pgMar w:left="320" w:top="1172" w:right="359" w:bottom="1440" w:gutter="0" w:footer="0" w:header="0"/>
          <w:type w:val="continuous"/>
        </w:sectPr>
      </w:pPr>
    </w:p>
    <w:bookmarkStart w:id="1" w:name="page2"/>
    <w:bookmarkEnd w:id="1"/>
    <w:p>
      <w:pPr>
        <w:ind w:left="1300" w:right="300" w:hanging="1295"/>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5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June 26, 2026, the Board of Directors (the “Board”) of Casella Waste Systems, Inc. (the “Company”) appointed Damian A. Ribar as Executive Vice President and Chief Operating Officer of the Company, effective as of the date of commencement of his employment, which is expected to be July 20, 2026.</w:t>
      </w:r>
    </w:p>
    <w:p>
      <w:pPr>
        <w:spacing w:after="0" w:line="6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Mr. Ribar previously served as Division Vice President of North Florida of Waste Connection, Inc., a solid waste services company (“Waste Connections”), from August 2025 until July 2026. Prior to that, he served as Division Vice President of Florida of Waste Connections from July 2019 to July 2025 and Division Vice President of Atlantic Coast Florida of Waste Connections from June 2016 to June 2019. Earlier in his career, Mr. Ribar served as Area Manager for Progressive Waste Solutions, Ltd., Vice President and Operations Controller at Waste Services, Inc., Chief Accounting Officer and Corporate Controller at Regus Industries, LLC, and Region Controller at Waste Management, Inc. Mr. Ribar holds a Bachelor of Science in Accounting, with a minor in Finance and Economics, from University of Pittsburgh at Johnstown.</w:t>
      </w:r>
    </w:p>
    <w:p>
      <w:pPr>
        <w:spacing w:after="0" w:line="7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are no family relationships between Mr. Ribar and any director, executive officer or person nominated or chosen by the Company to become a director or executive officer of the Company. There are no transactions in which Mr. Ribar has an interest requiring disclosure under Item 404(a) of Regulation S-K.</w:t>
      </w:r>
    </w:p>
    <w:p>
      <w:pPr>
        <w:spacing w:after="0" w:line="6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In connection with Mr. Ribar’s appointment as Executive Vice President and Chief Operating Officer, on June 27, 2026, Mr. Ribar accepted the terms of an offer letter (the “Offer”). Under the terms of the Offer Letter, Mr. Ribar’s annual base salary will be $500,000, and he will be eligible to receive a cash bonus of up to 85% of his annual base salary. Subject to determination by the Compensation and Human Capital Committee of the Company’s board of directors, Mr. Ribar is expected to receive each year an annual restricted stock unit award with a grant date value of $200,000 that will vest in equal annual installments over a three-year period, commencing on the first anniversary of the grant date, as well as an annual performance stock unit award with a grant date value of $600,000 that will vest based upon the achievement of company-wide performance targets after the third fiscal year end subsequent to grant. In addition, Mr. Ribar will be granted, on the second full trading day after the public announcement of earnings for the Company’s second quarter ended June 30, 2026, a one-time stock option award for the purchase of 25,000 shares of the Company’s Class A common stock that will vest in equal annual installments over a three-year period, commencing on the first anniversary of the grant date, with an exercise price equal to the closing price of the Company’s Class A common stock on the grant date. Mr. Ribar will be reimbursed for reasonable relocation and moving expenses, which will be subject to full repayment if Mr. Ribar voluntarily leaves the Company within the first 2 years of employment, and will also be provided with temporary, transitional housing for up to 12 weeks to assist with his relocation.</w:t>
      </w:r>
    </w:p>
    <w:p>
      <w:pPr>
        <w:spacing w:after="0" w:line="8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Offer Letter is qualified in its entirety by reference to the full text of the Offer Letter, a copy of which will be filed with the Company's Form 10-Q for the fiscal quarter ended June 30, 2026.</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1093"/>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320" w:type="dxa"/>
            <w:vAlign w:val="bottom"/>
          </w:tcPr>
          <w:p>
            <w:pPr>
              <w:spacing w:after="0"/>
              <w:rPr>
                <w:sz w:val="20"/>
                <w:szCs w:val="20"/>
                <w:color w:val="auto"/>
              </w:rPr>
            </w:pPr>
          </w:p>
        </w:tc>
        <w:tc>
          <w:tcPr>
            <w:tcW w:w="6680" w:type="dxa"/>
            <w:vAlign w:val="bottom"/>
            <w:gridSpan w:val="2"/>
          </w:tcPr>
          <w:p>
            <w:pPr>
              <w:ind w:left="1000"/>
              <w:spacing w:after="0"/>
              <w:rPr>
                <w:sz w:val="20"/>
                <w:szCs w:val="20"/>
                <w:color w:val="auto"/>
              </w:rPr>
            </w:pPr>
            <w:r>
              <w:rPr>
                <w:rFonts w:ascii="Times New Roman" w:cs="Times New Roman" w:eastAsia="Times New Roman" w:hAnsi="Times New Roman"/>
                <w:sz w:val="18"/>
                <w:szCs w:val="18"/>
                <w:b w:val="1"/>
                <w:bCs w:val="1"/>
                <w:color w:val="auto"/>
              </w:rPr>
              <w:t>CASELLA WASTE SYSTEMS, INC.</w:t>
            </w:r>
          </w:p>
        </w:tc>
      </w:tr>
      <w:tr>
        <w:trPr>
          <w:trHeight w:val="499"/>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Date: July 1, 2026</w:t>
            </w:r>
          </w:p>
        </w:tc>
        <w:tc>
          <w:tcPr>
            <w:tcW w:w="168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Bradford J. Helgeson</w:t>
            </w:r>
          </w:p>
        </w:tc>
      </w:tr>
      <w:tr>
        <w:trPr>
          <w:trHeight w:val="218"/>
        </w:trPr>
        <w:tc>
          <w:tcPr>
            <w:tcW w:w="23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Bradford J. Helgeson</w:t>
            </w:r>
          </w:p>
        </w:tc>
      </w:tr>
      <w:tr>
        <w:trPr>
          <w:trHeight w:val="234"/>
        </w:trPr>
        <w:tc>
          <w:tcPr>
            <w:tcW w:w="23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w:t>
      </w:r>
    </w:p>
    <w:sectPr>
      <w:pgSz w:w="11900" w:h="16838" w:orient="portrait"/>
      <w:cols w:equalWidth="0" w:num="1">
        <w:col w:w="11180"/>
      </w:cols>
      <w:pgMar w:left="320" w:top="12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2026-07-01T07:28:28Z</dcterms:created>
  <dcterms:modified xsi:type="dcterms:W3CDTF">2026-07-01T07:28:28Z</dcterms:modified>
</cp:coreProperties>
</file>