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6, 2026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Casella Waste Systems,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000-23211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03-0338873</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50" w:type="dxa"/>
        <w:jc w:val="center"/>
        <w:tblInd w:w="0" w:type="dxa"/>
        <w:tblLayout w:type="fixed"/>
        <w:tblCellMar>
          <w:top w:w="28" w:type="dxa"/>
          <w:left w:w="28" w:type="dxa"/>
          <w:bottom w:w="28" w:type="dxa"/>
          <w:right w:w="28" w:type="dxa"/>
        </w:tblCellMar>
      </w:tblPr>
      <w:tblGrid>
        <w:gridCol w:w="541"/>
        <w:gridCol w:w="476"/>
        <w:gridCol w:w="476"/>
        <w:gridCol w:w="476"/>
        <w:gridCol w:w="476"/>
        <w:gridCol w:w="476"/>
        <w:gridCol w:w="272"/>
        <w:gridCol w:w="272"/>
        <w:gridCol w:w="385"/>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Greens Hill Lane,</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Rutland,</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Vermont</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05701</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(802) 775-0325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60" w:after="120"/>
        <w:ind w:left="0" w:right="0" w:firstLine="54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100"/>
        <w:ind w:left="0" w:right="0" w:firstLine="540"/>
        <w:jc w:val="left"/>
        <w:rPr/>
      </w:pPr>
      <w:r>
        <w:rPr>
          <w:rFonts w:ascii="Times New Roman;serif" w:hAnsi="Times New Roman;serif"/>
          <w:b w:val="false"/>
          <w:color w:val="000000"/>
          <w:sz w:val="20"/>
        </w:rPr>
        <w:t>Securities registered pursuant to Section 12(b) of the Act:</w:t>
      </w:r>
      <w:r>
        <w:rPr>
          <w:color w:val="000000"/>
        </w:rPr>
        <w:t xml:space="preserve"> </w:t>
      </w:r>
    </w:p>
    <w:tbl>
      <w:tblPr>
        <w:tblW w:w="7342" w:type="dxa"/>
        <w:jc w:val="left"/>
        <w:tblInd w:w="0" w:type="dxa"/>
        <w:tblLayout w:type="fixed"/>
        <w:tblCellMar>
          <w:top w:w="28" w:type="dxa"/>
          <w:left w:w="28" w:type="dxa"/>
          <w:bottom w:w="28" w:type="dxa"/>
          <w:right w:w="28" w:type="dxa"/>
        </w:tblCellMar>
      </w:tblPr>
      <w:tblGrid>
        <w:gridCol w:w="1285"/>
        <w:gridCol w:w="1127"/>
        <w:gridCol w:w="1142"/>
        <w:gridCol w:w="109"/>
        <w:gridCol w:w="109"/>
        <w:gridCol w:w="109"/>
        <w:gridCol w:w="274"/>
        <w:gridCol w:w="274"/>
        <w:gridCol w:w="276"/>
        <w:gridCol w:w="109"/>
        <w:gridCol w:w="109"/>
        <w:gridCol w:w="109"/>
        <w:gridCol w:w="676"/>
        <w:gridCol w:w="676"/>
        <w:gridCol w:w="958"/>
      </w:tblGrid>
      <w:tr>
        <w:trPr/>
        <w:tc>
          <w:tcPr>
            <w:tcW w:w="12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5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CWST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6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120"/>
        <w:ind w:left="0" w:right="0" w:firstLine="54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60" w:after="60"/>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6, 2026, Casella Waste Systems, Inc. (the “Company”) issued a press release announcing its financial results for the second quarter ended June 30, 2026. The full text of the press release is furnished as Exhibit 99.1 to this Current Report on Form 8-K.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of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a filing.</w:t>
      </w:r>
    </w:p>
    <w:p>
      <w:pPr>
        <w:pStyle w:val="TextBody"/>
        <w:bidi w:val="0"/>
        <w:spacing w:lineRule="auto" w:line="288" w:before="240" w:after="283"/>
        <w:ind w:left="0" w:right="0" w:hanging="1440"/>
        <w:jc w:val="both"/>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345"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 Exhibits.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14"/>
        <w:gridCol w:w="275"/>
        <w:gridCol w:w="278"/>
        <w:gridCol w:w="109"/>
        <w:gridCol w:w="109"/>
        <w:gridCol w:w="109"/>
        <w:gridCol w:w="1508"/>
        <w:gridCol w:w="1423"/>
        <w:gridCol w:w="1423"/>
        <w:gridCol w:w="1423"/>
        <w:gridCol w:w="1423"/>
        <w:gridCol w:w="1434"/>
        <w:gridCol w:w="109"/>
        <w:gridCol w:w="109"/>
        <w:gridCol w:w="159"/>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wst-ex991063026.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of Casella Waste Systems, Inc. dated August 6, 2026.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 Document.**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Submitted Electronically Herewith.</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121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905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352"/>
        <w:gridCol w:w="352"/>
        <w:gridCol w:w="352"/>
        <w:gridCol w:w="352"/>
        <w:gridCol w:w="352"/>
        <w:gridCol w:w="352"/>
        <w:gridCol w:w="1435"/>
        <w:gridCol w:w="1435"/>
        <w:gridCol w:w="1525"/>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CASELLA WASTE SYSTEMS,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IMMEDIATE RELEASE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CASELLA WASTE SYSTEMS, INC. ANNOUNCES SECOND QUARTER 2026 RESULTS</w:t>
      </w:r>
    </w:p>
    <w:p>
      <w:pPr>
        <w:pStyle w:val="TextBody"/>
        <w:bidi w:val="0"/>
        <w:spacing w:lineRule="auto" w:line="288" w:before="120" w:after="120"/>
        <w:jc w:val="left"/>
        <w:rPr/>
      </w:pPr>
      <w:r>
        <w:rPr>
          <w:rFonts w:ascii="Times New Roman;serif" w:hAnsi="Times New Roman;serif"/>
          <w:b/>
          <w:color w:val="000000"/>
          <w:sz w:val="20"/>
        </w:rPr>
        <w:t>RUTLAND, VERMONT</w:t>
      </w:r>
      <w:r>
        <w:rPr>
          <w:color w:val="000000"/>
        </w:rPr>
        <w:t xml:space="preserve"> </w:t>
      </w:r>
      <w:r>
        <w:rPr>
          <w:rFonts w:ascii="Times New Roman;serif" w:hAnsi="Times New Roman;serif"/>
          <w:b w:val="false"/>
          <w:color w:val="000000"/>
          <w:sz w:val="20"/>
        </w:rPr>
        <w:t>(August 6, 2026) — Casella Waste Systems, Inc. (Nasdaq: CWST), a regional solid waste, recycling and resource management services company, today reported its financial results for the three and six month periods ended June 30, 2026.</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Key Highlights:</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 xml:space="preserve">Revenues were $543.7 million for the quarter, up $78.4 million, or up 16.9%, from the same period in 2025.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 xml:space="preserve">Solid waste pricing for the quarter was up 5.5% from the same period in 2025, driven by 5.8% collection price growth and 4.7% disposal price growth.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 xml:space="preserve">Net income was $3.8 million for the quarter, as compared to $5.2 million for the same period in 2025. Adjusted Net Income, a non-GAAP measure, was $25.3 million for the quarter, up $1.1 million, or up 4.6%, from the same period in 2025.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Adjusted EBITDA, a non-GAAP measure, was $123.2 million for the quarter, up $13.7 million, or up 12.5%, from the same period in 2025.</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Net cash provided by operating activities was $161.0 million for the year-to-date period, up $21.4 million, or up 15.3%, from the same period in 2025.</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Adjusted Free Cash Flow, a non-GAAP measure, was $78.1 million for the year-to-date period, up $7.3 million, or up 10.3%, from the same period in 2025.</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Acquired five businesses thus far in 2026 with approximately $165 million in aggregate annualized revenues.</w:t>
      </w:r>
    </w:p>
    <w:p>
      <w:pPr>
        <w:pStyle w:val="TextBody"/>
        <w:bidi w:val="0"/>
        <w:spacing w:before="0" w:after="0"/>
        <w:jc w:val="left"/>
        <w:rPr/>
      </w:pPr>
      <w:r>
        <w:rPr/>
      </w:r>
    </w:p>
    <w:p>
      <w:pPr>
        <w:pStyle w:val="TextBody"/>
        <w:bidi w:val="0"/>
        <w:spacing w:lineRule="auto" w:line="288" w:before="120" w:after="120"/>
        <w:ind w:left="0" w:right="0" w:firstLine="540"/>
        <w:jc w:val="left"/>
        <w:rPr>
          <w:color w:val="000000"/>
        </w:rPr>
      </w:pPr>
      <w:r>
        <w:rPr>
          <w:color w:val="000000"/>
        </w:rPr>
        <w:t>“</w:t>
      </w:r>
      <w:r>
        <w:rPr>
          <w:rFonts w:ascii="Times New Roman;serif" w:hAnsi="Times New Roman;serif"/>
          <w:b w:val="false"/>
          <w:color w:val="000000"/>
          <w:sz w:val="20"/>
        </w:rPr>
        <w:t>We delivered another quarter of solid financial and operating performance as our teams continued to execute at a high level across the business,” said Ned Coletta, President and CEO of Casella Waste Systems, Inc. “Our disciplined operating approach, strong pricing execution, healthy landfill volumes, and continued acquisition activity drove positive results during the quarter. The momentum we have built through the first half of the year, together with the strength of our operating platform, reinforces our confidence in our strategy and execution for the remainder of the year.”</w:t>
      </w:r>
    </w:p>
    <w:p>
      <w:pPr>
        <w:pStyle w:val="TextBody"/>
        <w:bidi w:val="0"/>
        <w:spacing w:lineRule="auto" w:line="288" w:before="120" w:after="120"/>
        <w:ind w:left="0" w:right="0" w:firstLine="540"/>
        <w:jc w:val="left"/>
        <w:rPr>
          <w:color w:val="000000"/>
        </w:rPr>
      </w:pPr>
      <w:r>
        <w:rPr>
          <w:color w:val="000000"/>
        </w:rPr>
        <w:t>“</w:t>
      </w:r>
      <w:r>
        <w:rPr>
          <w:rFonts w:ascii="Times New Roman;serif" w:hAnsi="Times New Roman;serif"/>
          <w:b w:val="false"/>
          <w:color w:val="000000"/>
          <w:sz w:val="20"/>
        </w:rPr>
        <w:t xml:space="preserve">Our core business continued to perform well during the quarter,” Coletta said. “Solid waste pricing remained strong, including disposal pricing of 4.7%, with municipal solid waste and construction &amp; demolition pricing growth of 4.5% at the landfills. As we advanced pricing, landfill volumes also increased year-over-year with the growth related to both third party-sales and internalization efforts.” </w:t>
      </w:r>
    </w:p>
    <w:p>
      <w:pPr>
        <w:pStyle w:val="TextBody"/>
        <w:bidi w:val="0"/>
        <w:spacing w:lineRule="auto" w:line="288" w:before="120" w:after="120"/>
        <w:ind w:left="0" w:right="0" w:firstLine="540"/>
        <w:jc w:val="left"/>
        <w:rPr>
          <w:color w:val="000000"/>
        </w:rPr>
      </w:pPr>
      <w:r>
        <w:rPr>
          <w:color w:val="000000"/>
        </w:rPr>
        <w:t>“</w:t>
      </w:r>
      <w:r>
        <w:rPr>
          <w:rFonts w:ascii="Times New Roman;serif" w:hAnsi="Times New Roman;serif"/>
          <w:b w:val="false"/>
          <w:color w:val="000000"/>
          <w:sz w:val="20"/>
        </w:rPr>
        <w:t>Notably, as fuel prices rapidly increased this year and remained elevated through the second quarter, our floating fuel recovery fees offset this higher cost, although resulting in a headwind to Adjusted EBITDA margins of 40 basis points. At the same time, our teams remained focused on driving results through our key operating programs as well as acquisition integration, including continued progress within our Mid-Atlantic region, where we have completed our systems integration work, initiated various route optimization initiatives, and look to further execute against our plan in the second half of the year.”</w:t>
      </w:r>
    </w:p>
    <w:p>
      <w:pPr>
        <w:pStyle w:val="TextBody"/>
        <w:bidi w:val="0"/>
        <w:spacing w:lineRule="auto" w:line="288" w:before="120" w:after="120"/>
        <w:ind w:left="0" w:right="0" w:firstLine="540"/>
        <w:jc w:val="left"/>
        <w:rPr>
          <w:color w:val="000000"/>
        </w:rPr>
      </w:pPr>
      <w:r>
        <w:rPr>
          <w:color w:val="000000"/>
        </w:rPr>
        <w:t>“</w:t>
      </w:r>
      <w:r>
        <w:rPr>
          <w:rFonts w:ascii="Times New Roman;serif" w:hAnsi="Times New Roman;serif"/>
          <w:b w:val="false"/>
          <w:color w:val="000000"/>
          <w:sz w:val="20"/>
        </w:rPr>
        <w:t xml:space="preserve">Our acquisition pipeline remains very strong,” Coletta said. “We have closed on five acquisitions so far this year with total annualized revenues of approximately $165 million, and I would like to again welcome our new team members and customers.”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Q2 2026 Results</w:t>
      </w:r>
    </w:p>
    <w:p>
      <w:pPr>
        <w:pStyle w:val="TextBody"/>
        <w:bidi w:val="0"/>
        <w:spacing w:lineRule="auto" w:line="288" w:before="120" w:after="120"/>
        <w:ind w:left="0" w:right="0" w:firstLine="540"/>
        <w:jc w:val="left"/>
        <w:rPr/>
      </w:pPr>
      <w:r>
        <w:rPr>
          <w:rFonts w:ascii="Times New Roman;serif" w:hAnsi="Times New Roman;serif"/>
          <w:b w:val="false"/>
          <w:color w:val="000000"/>
          <w:sz w:val="20"/>
        </w:rPr>
        <w:t>Revenues were $543.7 million for the quarter, up $78.4 million, or up 16.9%, from the same period in 2025, with revenue growth mainly driven by: the positive impact from acquisitions, including the rollover contribution from deals closed in prior periods;</w:t>
      </w:r>
      <w:r>
        <w:rPr>
          <w:color w:val="000000"/>
          <w:shd w:fill="FFFFFF" w:val="clear"/>
        </w:rPr>
        <w:t xml:space="preserve"> </w:t>
      </w:r>
      <w:r>
        <w:rPr>
          <w:rFonts w:ascii="Times New Roman;serif" w:hAnsi="Times New Roman;serif"/>
          <w:b w:val="false"/>
          <w:color w:val="000000"/>
          <w:sz w:val="20"/>
          <w:shd w:fill="FFFFFF" w:val="clear"/>
        </w:rPr>
        <w:t>positive collection an</w:t>
      </w:r>
      <w:r>
        <w:rPr>
          <w:rFonts w:ascii="Times New Roman;serif" w:hAnsi="Times New Roman;serif"/>
          <w:b w:val="false"/>
          <w:color w:val="000000"/>
          <w:sz w:val="20"/>
        </w:rPr>
        <w:t>d disposal pri</w:t>
      </w:r>
      <w:r>
        <w:rPr>
          <w:rFonts w:ascii="Times New Roman;serif" w:hAnsi="Times New Roman;serif"/>
          <w:b w:val="false"/>
          <w:color w:val="000000"/>
          <w:sz w:val="20"/>
          <w:shd w:fill="FFFFFF" w:val="clear"/>
        </w:rPr>
        <w:t>ce; an increase in landfill volumes; and strong National Accounts growth in our Resource Solutions operating segment.</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was $20.0 million for the quarter, up $0.7 million, or up 3.6%, from the same period in 2025, reflecting improved operating performance; partially offset by higher depreciation and amortization expense mainly related to acquisition growth. </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income was $3.8 million for the quarter, down $(1.4) million, or down (27.6)%, as compared to $5.2 million for the same period in 2025, largely driven by the same factors impacting operating income in addition to higher interest expense, net. Adjusted Net Income was $25.3 million for the quarter, up $1.1 million, or up 4.6%, from the same period in 2025.</w:t>
      </w: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120"/>
        <w:ind w:left="0" w:right="0" w:firstLine="540"/>
        <w:jc w:val="left"/>
        <w:rPr/>
      </w:pPr>
      <w:r>
        <w:rPr>
          <w:rFonts w:ascii="Times New Roman;serif" w:hAnsi="Times New Roman;serif"/>
          <w:b w:val="false"/>
          <w:color w:val="000000"/>
          <w:sz w:val="20"/>
        </w:rPr>
        <w:t>Adjusted EBITDA was $123.2 million for the quarter, up $13.7 million, or up 12.5%, from the same period in 2025,</w:t>
      </w:r>
      <w:r>
        <w:rPr>
          <w:color w:val="000000"/>
          <w:shd w:fill="FFFFFF" w:val="clear"/>
        </w:rPr>
        <w:t xml:space="preserve"> </w:t>
      </w:r>
      <w:r>
        <w:rPr>
          <w:rFonts w:ascii="Times New Roman;serif" w:hAnsi="Times New Roman;serif"/>
          <w:b w:val="false"/>
          <w:color w:val="000000"/>
          <w:sz w:val="20"/>
          <w:shd w:fill="FFFFFF" w:val="clear"/>
        </w:rPr>
        <w:t>driven by both acquisition contribution and organic growth</w:t>
      </w:r>
      <w:r>
        <w:rPr>
          <w:rFonts w:ascii="Times New Roman;serif" w:hAnsi="Times New Roman;serif"/>
          <w:b w:val="false"/>
          <w:color w:val="000000"/>
          <w:sz w:val="20"/>
        </w:rPr>
        <w:t>.</w:t>
      </w:r>
    </w:p>
    <w:p>
      <w:pPr>
        <w:pStyle w:val="TextBody"/>
        <w:bidi w:val="0"/>
        <w:spacing w:lineRule="auto" w:line="288"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Please refer to "Non-GAAP Performance Measures" included in "Unaudited Reconciliation of Certain Non-GAAP Measures" below for additional information and reconciliations of Adjusted Net Income, Adjusted EBITDA and other non-GAAP performance measures to their most directly comparable generally accepted accounting principles (“GAAP”) measures.</w:t>
      </w:r>
    </w:p>
    <w:p>
      <w:pPr>
        <w:pStyle w:val="TextBody"/>
        <w:bidi w:val="0"/>
        <w:spacing w:lineRule="auto" w:line="288" w:before="120" w:after="120"/>
        <w:ind w:left="0" w:right="0" w:firstLine="540"/>
        <w:jc w:val="left"/>
        <w:rPr/>
      </w:pPr>
      <w:r>
        <w:rPr>
          <w:rFonts w:ascii="Times New Roman;serif" w:hAnsi="Times New Roman;serif"/>
          <w:b w:val="false"/>
          <w:color w:val="000000"/>
          <w:sz w:val="20"/>
          <w:shd w:fill="FFFFFF" w:val="clear"/>
        </w:rPr>
        <w:t xml:space="preserve">Net cash provided by operating activities was </w:t>
      </w:r>
      <w:r>
        <w:rPr>
          <w:rFonts w:ascii="Times New Roman;serif" w:hAnsi="Times New Roman;serif"/>
          <w:b w:val="false"/>
          <w:color w:val="000000"/>
          <w:sz w:val="20"/>
        </w:rPr>
        <w:t>$161.0 million</w:t>
      </w:r>
      <w:r>
        <w:rPr>
          <w:color w:val="000000"/>
          <w:shd w:fill="FFFFFF" w:val="clear"/>
        </w:rPr>
        <w:t xml:space="preserve"> </w:t>
      </w:r>
      <w:r>
        <w:rPr>
          <w:rFonts w:ascii="Times New Roman;serif" w:hAnsi="Times New Roman;serif"/>
          <w:b w:val="false"/>
          <w:color w:val="000000"/>
          <w:sz w:val="20"/>
          <w:shd w:fill="FFFFFF" w:val="clear"/>
        </w:rPr>
        <w:t xml:space="preserve">for the six months ended June 30, 2026, up </w:t>
      </w:r>
      <w:r>
        <w:rPr>
          <w:rFonts w:ascii="Times New Roman;serif" w:hAnsi="Times New Roman;serif"/>
          <w:b w:val="false"/>
          <w:color w:val="000000"/>
          <w:sz w:val="20"/>
        </w:rPr>
        <w:t>$21.4 million from</w:t>
      </w:r>
      <w:r>
        <w:rPr>
          <w:color w:val="000000"/>
          <w:shd w:fill="FFFFFF" w:val="clear"/>
        </w:rPr>
        <w:t xml:space="preserve"> </w:t>
      </w:r>
      <w:r>
        <w:rPr>
          <w:rFonts w:ascii="Times New Roman;serif" w:hAnsi="Times New Roman;serif"/>
          <w:b w:val="false"/>
          <w:color w:val="000000"/>
          <w:sz w:val="20"/>
          <w:shd w:fill="FFFFFF" w:val="clear"/>
        </w:rPr>
        <w:t xml:space="preserve">the same period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Adjusted Free Cash Flow was </w:t>
      </w:r>
      <w:r>
        <w:rPr>
          <w:rFonts w:ascii="Times New Roman;serif" w:hAnsi="Times New Roman;serif"/>
          <w:b w:val="false"/>
          <w:color w:val="000000"/>
          <w:sz w:val="20"/>
        </w:rPr>
        <w:t>$78.1 million</w:t>
      </w:r>
      <w:r>
        <w:rPr>
          <w:color w:val="000000"/>
          <w:shd w:fill="FFFFFF" w:val="clear"/>
        </w:rPr>
        <w:t xml:space="preserve"> </w:t>
      </w:r>
      <w:r>
        <w:rPr>
          <w:rFonts w:ascii="Times New Roman;serif" w:hAnsi="Times New Roman;serif"/>
          <w:b w:val="false"/>
          <w:color w:val="000000"/>
          <w:sz w:val="20"/>
          <w:shd w:fill="FFFFFF" w:val="clear"/>
        </w:rPr>
        <w:t xml:space="preserve">for the six months ended June 30, 2026, up </w:t>
      </w:r>
      <w:r>
        <w:rPr>
          <w:rFonts w:ascii="Times New Roman;serif" w:hAnsi="Times New Roman;serif"/>
          <w:b w:val="false"/>
          <w:color w:val="000000"/>
          <w:sz w:val="20"/>
        </w:rPr>
        <w:t>$7.3 million</w:t>
      </w:r>
      <w:r>
        <w:rPr>
          <w:color w:val="000000"/>
          <w:shd w:fill="FFFFFF" w:val="clear"/>
        </w:rPr>
        <w:t xml:space="preserve"> </w:t>
      </w:r>
      <w:r>
        <w:rPr>
          <w:rFonts w:ascii="Times New Roman;serif" w:hAnsi="Times New Roman;serif"/>
          <w:b w:val="false"/>
          <w:color w:val="000000"/>
          <w:sz w:val="20"/>
          <w:shd w:fill="FFFFFF" w:val="clear"/>
        </w:rPr>
        <w:t xml:space="preserve">from the same period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lineRule="auto" w:line="288"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Please refer to "Non-GAAP Liquidity Measures" included in "Unaudited Reconciliation of Certain Non-GAAP Measures" below for additional information and reconciliation of Adjusted Free Cash Flow to its most directly comparable GAAP measure.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Fiscal Year 2026 Outlook</w:t>
      </w:r>
    </w:p>
    <w:p>
      <w:pPr>
        <w:pStyle w:val="TextBody"/>
        <w:bidi w:val="0"/>
        <w:spacing w:lineRule="auto" w:line="288" w:before="120" w:after="120"/>
        <w:jc w:val="left"/>
        <w:rPr>
          <w:color w:val="000000"/>
        </w:rPr>
      </w:pPr>
      <w:r>
        <w:rPr>
          <w:color w:val="000000"/>
        </w:rPr>
        <w:t>“</w:t>
      </w:r>
      <w:r>
        <w:rPr>
          <w:rFonts w:ascii="Times New Roman;serif" w:hAnsi="Times New Roman;serif"/>
          <w:b w:val="false"/>
          <w:color w:val="000000"/>
          <w:sz w:val="20"/>
        </w:rPr>
        <w:t>We are increasing our revenue guidance reflecting our acquisition activity and expectation of higher floating fuel recovery fees associated with offsetting elevated fuel costs,” Coletta said. “The business is performing in line with plan and our outlook for the year has not materially changed.”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updated guidance for the fiscal year ending December 31, 2026 (“fiscal year 2026”) for the following ranges: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Revenues between $2.090 billion and $2.110 billion (raised from a range of $2.060 billion to $2.080 billion); and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Net income between $0 and $6 million (lowered from a range of $4 million to $10 million).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reaffirmed guidance for fiscal year 2026 by estimating results in the following ranges: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Adjusted EBITDA between $473 million and $483 million;</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Net cash provided by operating activities between $370 million and $380 million; and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Adjusted Free Cash Flow between $200 million and $210 million.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guidance ranges do not include the impact of any acquisitions that have not been completed. Adjusted EBITDA and Adjusted Free Cash Flow related to fiscal year 2026 are described in the Unaudited Reconciliation of Fiscal Year 2026 Outlook Non-GAAP Measures section of this press release. Net income and Net cash provided by operating activities are provided as the most directly comparable GAAP measures to Adjusted EBITDA and Adjusted Free Cash Flow, respectively, however these forward-looking estimates for fiscal year 2026 do not contemplate any unanticipated impacts.</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Conference Call to Discuss Quarter</w:t>
      </w:r>
    </w:p>
    <w:p>
      <w:pPr>
        <w:pStyle w:val="TextBody"/>
        <w:bidi w:val="0"/>
        <w:spacing w:lineRule="auto" w:line="288" w:before="120" w:after="120"/>
        <w:ind w:left="0" w:right="0" w:firstLine="540"/>
        <w:jc w:val="left"/>
        <w:rPr/>
      </w:pPr>
      <w:r>
        <w:rPr>
          <w:rFonts w:ascii="Times New Roman;serif" w:hAnsi="Times New Roman;serif"/>
          <w:b w:val="false"/>
          <w:color w:val="000000"/>
          <w:sz w:val="20"/>
        </w:rPr>
        <w:t>The Company will host a conference call to discuss these results on Friday, August 7, 2026 at 10:00 a.m. Eastern Time. Individuals interested in participating in the call should register for the call by clickin</w:t>
      </w:r>
      <w:r>
        <w:rPr>
          <w:rFonts w:ascii="Times New Roman;serif" w:hAnsi="Times New Roman;serif"/>
          <w:b w:val="false"/>
          <w:color w:val="000000"/>
          <w:sz w:val="20"/>
          <w:shd w:fill="FFFFFF" w:val="clear"/>
        </w:rPr>
        <w:t xml:space="preserve">g </w:t>
      </w:r>
      <w:r>
        <w:rPr>
          <w:rFonts w:ascii="Times New Roman;serif" w:hAnsi="Times New Roman;serif"/>
          <w:b w:val="false"/>
          <w:color w:val="000000"/>
          <w:sz w:val="20"/>
        </w:rPr>
        <w:t>here</w:t>
      </w:r>
      <w:r>
        <w:rPr>
          <w:color w:val="000000"/>
          <w:shd w:fill="FFFFFF" w:val="clear"/>
        </w:rPr>
        <w:t xml:space="preserve"> </w:t>
      </w:r>
      <w:r>
        <w:rPr>
          <w:rFonts w:ascii="Times New Roman;serif" w:hAnsi="Times New Roman;serif"/>
          <w:b w:val="false"/>
          <w:color w:val="000000"/>
          <w:sz w:val="20"/>
        </w:rPr>
        <w:t>to obtain a dial in number and unique passcode. Alternatively, upon registration, the website linked above provides an option for the conference provider to call the registrant's phone line, enabling participation on the call.</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call will also be webcast; to listen, participants should visit the Company’s website at http://ir.casella.com and follow the appropriate link to the webcast. A replay of the call will be available on the Company's website and accessible using the same link.</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About Casella Waste Systems, Inc.</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Casella Waste Systems, Inc., headquartered in Rutland, Vermont, provides resource management expertise and services to residential, commercial, municipal, institutional and industrial customers, primarily in the areas of solid waste collection and disposal, transfer, recycling and organics services in the eastern United States. For further information, investors may visit the Company’s website at http://www.casella.com.</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Safe Harbor Statement</w:t>
      </w:r>
    </w:p>
    <w:p>
      <w:pPr>
        <w:pStyle w:val="TextBody"/>
        <w:bidi w:val="0"/>
        <w:spacing w:lineRule="auto" w:line="288"/>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matters discussed in this press release, including, but not limited to, the statements regarding our intentions, beliefs or current expectations concerning, among other things, our financial performance; financial condition; operations and services; prospects; growth; strategies; anticipated impacts from future or completed acquisitions; and guidance for fiscal year 2026, are “forward-looking statements” intended to qualify for the safe harbors from liability established by the Private Securities Litigation Reform Act of 1995. These forward-looking statements can generally be identified as such by the context of the statements, including words such as “believe,” “expect,” “anticipate,” “plan,” “may,” “would,” “intend,” “estimate”, “projects,” “will,” “guidance” and other similar expressions, whether in the negative or affirmative. These forward-looking statements are based on current expectations, estimates, forecasts and projections about the industry and markets in which the </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Company operates and management’s beliefs and assumptions. The Company cannot guarantee that it will achieve the financial results, plans, intentions, expectations or guidance disclosed in the forward-looking statements made. Such forward-looking statements, and all phases of the Company's operations, involve a number of risks and uncertainties, any one or more of which could cause actual results to differ materially from those described in its forward-looking statements.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Such risks and uncertainties include or relate to, among other things, the following: the Company may be unable to adequately increase prices or drive operating efficiencies to adequately offset increased costs and inflationary pressures, including increased fuel prices, wages, and tariffs; it is difficult to determine the timing or future impact of a sustained economic slowdown that could negatively affect our operations and financial results; the increasing focus on per - and polyfluoroalkyl substances (“PFAS”) and other emerging contaminants, including the recent designation by the U.S. Environmental Protection Agency of two PFAS chemicals as hazardous substances under the Comprehensive Environmental Response, Compensation, and Liability Act, will likely lead to increased compliance and remediation costs and litigation risks; adverse weather conditions may negatively impact the Company's revenues and its operating margin; the Company may be unable to increase volumes at its landfills or improve its route profitability; the Company may be unable to reduce costs or increase pricing or volumes sufficiently to achieve estimated Adjusted EBITDA and other targets; landfill operations and permit status may be affected by factors outside the Company's control; the Company may be required to incur capital expenditures in excess of its estimates; the Company's insurance coverage and self-insurance reserves may be inadequate to cover all of its risk exposures; fluctuations in energy pricing or the commodity pricing of its recyclables may make it more difficult for the Company to predict its results of operations or meet its estimates; disruptions or limited access to domestic and global transportation or the imposition of tariffs could impact the Company's ability to sell recyclables into end markets; the Company may be unable to achieve its acquisition or development targets on favorable pricing or at all, including due to the failure to satisfy all closing conditions and to receive required regulatory approvals that may prevent closing of any announced transaction; the Company may not be able to successfully integrate and recognize the expected financial benefits from acquired businesses; and the Company may incur environmental charges or asset impairments in the future.</w:t>
      </w:r>
    </w:p>
    <w:p>
      <w:pPr>
        <w:pStyle w:val="TextBody"/>
        <w:bidi w:val="0"/>
        <w:spacing w:lineRule="auto" w:line="288" w:before="0" w:after="0"/>
        <w:ind w:left="0" w:right="0" w:firstLine="540"/>
        <w:jc w:val="left"/>
        <w:rPr/>
      </w:pPr>
      <w:r>
        <w:rPr>
          <w:rFonts w:ascii="Times New Roman;serif" w:hAnsi="Times New Roman;serif"/>
          <w:b w:val="false"/>
          <w:color w:val="000000"/>
          <w:sz w:val="20"/>
        </w:rPr>
        <w:t>There are a number of other important risks and uncertainties that could cause the Company's actual results to differ materially from those indicated by such forward-looking statements. These additional risks and uncertainties include, without limitation, those detailed in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the Company's most recently filed Form 10-K and in other filings that the Company may make with the Securities and Exchange Commission in the future.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undertakes no obligation to update publicly any forward-looking statements whether as a result of new information, future events or otherwise, except as required by law.</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Investors: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Henry Baby, CFA</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Vice President of Investor Relations &amp; Finance</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(802) 417-3841</w:t>
      </w:r>
    </w:p>
    <w:p>
      <w:pPr>
        <w:pStyle w:val="TextBody"/>
        <w:bidi w:val="0"/>
        <w:spacing w:lineRule="auto" w:line="288" w:before="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Media:</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Jeff Weld</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Vice President of Communications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(802) 772-2234</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http://www.casella.com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CASELLA WASTE SYSTEMS,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for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15"/>
        <w:gridCol w:w="1407"/>
        <w:gridCol w:w="1422"/>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5"/>
      </w:tblGrid>
      <w:tr>
        <w:trPr/>
        <w:tc>
          <w:tcPr>
            <w:tcW w:w="161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19" w:type="dxa"/>
            <w:gridSpan w:val="6"/>
            <w:tcBorders/>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1,001,076 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882,435 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from acquisition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Organics facility closure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860,019 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63,424 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common share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63,524 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common share</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left"/>
        <w:rPr>
          <w:color w:val="000000"/>
        </w:rPr>
      </w:pPr>
      <w:r>
        <w:rPr>
          <w:color w:val="000000"/>
        </w:rPr>
        <w:t> </w:t>
      </w:r>
    </w:p>
    <w:tbl>
      <w:tblPr>
        <w:tblW w:w="9158" w:type="dxa"/>
        <w:jc w:val="left"/>
        <w:tblInd w:w="0" w:type="dxa"/>
        <w:tblLayout w:type="fixed"/>
        <w:tblCellMar>
          <w:top w:w="28" w:type="dxa"/>
          <w:left w:w="28" w:type="dxa"/>
          <w:bottom w:w="28" w:type="dxa"/>
          <w:right w:w="28" w:type="dxa"/>
        </w:tblCellMar>
      </w:tblPr>
      <w:tblGrid>
        <w:gridCol w:w="2235"/>
        <w:gridCol w:w="1974"/>
        <w:gridCol w:w="1985"/>
        <w:gridCol w:w="211"/>
        <w:gridCol w:w="976"/>
        <w:gridCol w:w="109"/>
        <w:gridCol w:w="109"/>
        <w:gridCol w:w="109"/>
        <w:gridCol w:w="109"/>
        <w:gridCol w:w="211"/>
        <w:gridCol w:w="976"/>
        <w:gridCol w:w="154"/>
      </w:tblGrid>
      <w:tr>
        <w:trPr/>
        <w:tc>
          <w:tcPr>
            <w:tcW w:w="2235"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369,281 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of accumulated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and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3,557,516 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3,303,326 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maturities of debt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accrued final capping, closure and post-closure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293,902 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final capping, closure and post-closure costs,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3,557,516 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3,303,326 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CASELLA WASTE SYSTEMS,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44"/>
        <w:gridCol w:w="2494"/>
        <w:gridCol w:w="2502"/>
        <w:gridCol w:w="196"/>
        <w:gridCol w:w="646"/>
        <w:gridCol w:w="109"/>
        <w:gridCol w:w="109"/>
        <w:gridCol w:w="109"/>
        <w:gridCol w:w="109"/>
        <w:gridCol w:w="196"/>
        <w:gridCol w:w="736"/>
        <w:gridCol w:w="155"/>
      </w:tblGrid>
      <w:tr>
        <w:trPr/>
        <w:tc>
          <w:tcPr>
            <w:tcW w:w="2844"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Adjustments to reconcile net (loss) income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accretion on landfill and environmental remediation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items and charges,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effects of acquisitions and divestitures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139,648 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net of cash acquired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Additions to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(522,464)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(296,393)</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 borrowings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(8,786)</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 including non-current</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(165,531)</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including non-current,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383,303 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including non-current,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217,772 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interest payments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income tax (refunds) payments,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Non-Cash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finance lease obligations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operating lease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RECONCILIATION OF CERTAIN NON-GAAP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Performance Measures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disclosing financial results prepared in accordance with GAAP, the Company also presents non-GAAP performance measures such as Adjusted EBITDA, Adjusted EBITDA as a percentage of revenues, Adjusted Operating Income, Adjusted Operating Income as a percentage of revenues, Adjusted Net Income and Adjusted Diluted Earnings Per Common Share that provide an understanding of operational performance because it considers them important supplemental measures of the Company's performance that are frequently used by securities analysts, investors and other interested parties in the evaluation of the Company's results. The Company also believes that identifying the impact of certain items as adjustments provides more transparency and comparability across periods. Management uses these non-GAAP performance measures to further understand its “core operating performance” and believes its “core operating performance” is helpful in understanding its ongoing performance in the ordinary course of operations. The Company believes that providing such non-GAAP performance measures to investors, in addition to corresponding income statement measures, affords investors the benefit of viewing the Company’s performance using the same financial metrics that the management team uses in making many key decisions and understanding how the core business and its results of operations has performed. The tables below set forth such performance measures on an adjusted basis to exclude such items:</w:t>
      </w:r>
    </w:p>
    <w:tbl>
      <w:tblPr>
        <w:tblW w:w="10205" w:type="dxa"/>
        <w:jc w:val="left"/>
        <w:tblInd w:w="0" w:type="dxa"/>
        <w:tblLayout w:type="fixed"/>
        <w:tblCellMar>
          <w:top w:w="28" w:type="dxa"/>
          <w:left w:w="28" w:type="dxa"/>
          <w:bottom w:w="28" w:type="dxa"/>
          <w:right w:w="28" w:type="dxa"/>
        </w:tblCellMar>
      </w:tblPr>
      <w:tblGrid>
        <w:gridCol w:w="1558"/>
        <w:gridCol w:w="1161"/>
        <w:gridCol w:w="1167"/>
        <w:gridCol w:w="211"/>
        <w:gridCol w:w="841"/>
        <w:gridCol w:w="271"/>
        <w:gridCol w:w="109"/>
        <w:gridCol w:w="109"/>
        <w:gridCol w:w="109"/>
        <w:gridCol w:w="211"/>
        <w:gridCol w:w="841"/>
        <w:gridCol w:w="271"/>
        <w:gridCol w:w="109"/>
        <w:gridCol w:w="109"/>
        <w:gridCol w:w="109"/>
        <w:gridCol w:w="211"/>
        <w:gridCol w:w="841"/>
        <w:gridCol w:w="271"/>
        <w:gridCol w:w="109"/>
        <w:gridCol w:w="109"/>
        <w:gridCol w:w="109"/>
        <w:gridCol w:w="211"/>
        <w:gridCol w:w="841"/>
        <w:gridCol w:w="317"/>
      </w:tblGrid>
      <w:tr>
        <w:trPr/>
        <w:tc>
          <w:tcPr>
            <w:tcW w:w="155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3,770</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5,208</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(1,769)</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w:t>
            </w:r>
            <w:r>
              <w:rPr>
                <w:color w:val="000000"/>
              </w:rPr>
              <w:t>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Net income (loss) as a percentage of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0.7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landfill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109,914 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(i)</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from acquisition activities (ii)</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Organics facility closure charge, net (iii)</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of landfill operating lease obligations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accretion on landfill and environmental remediation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123,238</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109,506</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220,312</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195,920</w:t>
            </w:r>
            <w:r>
              <w:rPr>
                <w:color w:val="000000"/>
              </w:rPr>
              <w:t>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Adjusted EBITDA as a percentage of revenues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22.7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23.5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22.0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22.2</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landfill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(109,914)</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of landfill operating lease obligations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accretion on landfill and environmental remediation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49,002</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44,852</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79,512</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72,991</w:t>
            </w:r>
            <w:r>
              <w:rPr>
                <w:color w:val="000000"/>
              </w:rPr>
              <w:t>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Adjusted Operating Income as a percentage of revenues</w:t>
            </w:r>
          </w:p>
        </w:tc>
        <w:tc>
          <w:tcPr>
            <w:tcW w:w="105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9.0</w:t>
            </w:r>
            <w:r>
              <w:rPr>
                <w:color w:val="000000"/>
              </w:rPr>
              <w:t>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9.6</w:t>
            </w:r>
            <w:r>
              <w:rPr>
                <w:color w:val="000000"/>
              </w:rPr>
              <w:t>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7.9</w:t>
            </w:r>
            <w:r>
              <w:rPr>
                <w:color w:val="000000"/>
              </w:rPr>
              <w:t>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8.3</w:t>
            </w:r>
            <w:r>
              <w:rPr>
                <w:color w:val="000000"/>
              </w:rPr>
              <w:t> </w:t>
            </w:r>
          </w:p>
        </w:tc>
        <w:tc>
          <w:tcPr>
            <w:tcW w:w="31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10"/>
        <w:gridCol w:w="1579"/>
        <w:gridCol w:w="1564"/>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56"/>
      </w:tblGrid>
      <w:tr>
        <w:trPr/>
        <w:tc>
          <w:tcPr>
            <w:tcW w:w="181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5,208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(i)</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from acquisition activities (ii)</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Organics facility closure charge, net (iii)</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effect (iv)</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25,258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38,704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37,823</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weighted average common shares outstanding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63,524</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options and other stock awards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Diluted Weighted Average Common Shares Outstanding</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63,661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63,524</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0.01</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(i)</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from acquisition activities (ii)</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Organics facility closure charge, net (iii)</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effect (iv)</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Diluted Earnings Per Common Share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0.60</w:t>
            </w:r>
            <w:r>
              <w:rPr>
                <w:color w:val="000000"/>
              </w:rPr>
              <w:t>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450"/>
        <w:jc w:val="left"/>
        <w:rPr/>
      </w:pPr>
      <w:r>
        <w:rPr>
          <w:rFonts w:ascii="Times New Roman;serif" w:hAnsi="Times New Roman;serif"/>
          <w:b w:val="false"/>
          <w:color w:val="000000"/>
          <w:sz w:val="20"/>
        </w:rPr>
        <w:t>(i)</w:t>
      </w:r>
      <w:r>
        <w:rPr>
          <w:rFonts w:ascii="Times New Roman;serif" w:hAnsi="Times New Roman;serif"/>
          <w:b w:val="false"/>
          <w:i/>
          <w:color w:val="000000"/>
          <w:sz w:val="20"/>
        </w:rPr>
        <w:t xml:space="preserve">Amortization of intangibles </w:t>
      </w:r>
      <w:r>
        <w:rPr>
          <w:rFonts w:ascii="Times New Roman;serif" w:hAnsi="Times New Roman;serif"/>
          <w:b w:val="false"/>
          <w:color w:val="000000"/>
          <w:sz w:val="20"/>
        </w:rPr>
        <w:t>is the add-back of non-cash amortization of acquired intangibles, including covenants not-to-compete, customer relationships and trade names.</w:t>
      </w:r>
    </w:p>
    <w:p>
      <w:pPr>
        <w:pStyle w:val="TextBody"/>
        <w:bidi w:val="0"/>
        <w:spacing w:lineRule="auto" w:line="288" w:before="120" w:after="283"/>
        <w:ind w:left="0" w:right="0" w:hanging="450"/>
        <w:jc w:val="left"/>
        <w:rPr/>
      </w:pPr>
      <w:r>
        <w:rPr>
          <w:rFonts w:ascii="Times New Roman;serif" w:hAnsi="Times New Roman;serif"/>
          <w:b w:val="false"/>
          <w:color w:val="000000"/>
          <w:sz w:val="20"/>
        </w:rPr>
        <w:t>(ii)</w:t>
      </w:r>
      <w:r>
        <w:rPr>
          <w:rFonts w:ascii="Times New Roman;serif" w:hAnsi="Times New Roman;serif"/>
          <w:b w:val="false"/>
          <w:i/>
          <w:color w:val="000000"/>
          <w:sz w:val="20"/>
        </w:rPr>
        <w:t xml:space="preserve">Expense from acquisition activities </w:t>
      </w:r>
      <w:r>
        <w:rPr>
          <w:rFonts w:ascii="Times New Roman;serif" w:hAnsi="Times New Roman;serif"/>
          <w:b w:val="false"/>
          <w:color w:val="000000"/>
          <w:sz w:val="20"/>
        </w:rPr>
        <w:t>is comprised primarily of legal, consulting, rebranding, information technology and other costs associated with the due diligence, acquisition and integration of acquired businesses.</w:t>
      </w:r>
    </w:p>
    <w:p>
      <w:pPr>
        <w:pStyle w:val="TextBody"/>
        <w:bidi w:val="0"/>
        <w:spacing w:lineRule="auto" w:line="288" w:before="120" w:after="283"/>
        <w:ind w:left="0" w:right="0" w:hanging="450"/>
        <w:jc w:val="left"/>
        <w:rPr/>
      </w:pPr>
      <w:r>
        <w:rPr>
          <w:rFonts w:ascii="Times New Roman;serif" w:hAnsi="Times New Roman;serif"/>
          <w:b w:val="false"/>
          <w:color w:val="000000"/>
          <w:sz w:val="20"/>
        </w:rPr>
        <w:t>(iii)</w:t>
      </w:r>
      <w:r>
        <w:rPr>
          <w:rFonts w:ascii="Times New Roman;serif" w:hAnsi="Times New Roman;serif"/>
          <w:b w:val="false"/>
          <w:i/>
          <w:color w:val="000000"/>
          <w:sz w:val="20"/>
        </w:rPr>
        <w:t xml:space="preserve">Organics facility closure charge, net </w:t>
      </w:r>
      <w:r>
        <w:rPr>
          <w:rFonts w:ascii="Times New Roman;serif" w:hAnsi="Times New Roman;serif"/>
          <w:b w:val="false"/>
          <w:color w:val="000000"/>
          <w:sz w:val="20"/>
        </w:rPr>
        <w:t>are net expenses related to us ceasing operations at an organic residuals composting facility that we own in Maine related to a change in state law prohibiting land application of biosolids based recycled products. The charge consists of costs incurred, net of revenues, related to ceasing operations at the site, which we expect to continue to occur through final closure of the site.</w:t>
      </w:r>
    </w:p>
    <w:p>
      <w:pPr>
        <w:pStyle w:val="TextBody"/>
        <w:bidi w:val="0"/>
        <w:spacing w:lineRule="auto" w:line="288" w:before="120" w:after="283"/>
        <w:ind w:left="0" w:right="0" w:hanging="450"/>
        <w:jc w:val="left"/>
        <w:rPr/>
      </w:pPr>
      <w:r>
        <w:rPr>
          <w:rFonts w:ascii="Times New Roman;serif" w:hAnsi="Times New Roman;serif"/>
          <w:b w:val="false"/>
          <w:color w:val="000000"/>
          <w:sz w:val="20"/>
        </w:rPr>
        <w:t>(iv)</w:t>
      </w:r>
      <w:r>
        <w:rPr>
          <w:rFonts w:ascii="Times New Roman;serif" w:hAnsi="Times New Roman;serif"/>
          <w:b w:val="false"/>
          <w:i/>
          <w:color w:val="000000"/>
          <w:sz w:val="20"/>
        </w:rPr>
        <w:t>Tax effect</w:t>
      </w:r>
      <w:r>
        <w:rPr>
          <w:color w:val="000000"/>
        </w:rPr>
        <w:t xml:space="preserve"> </w:t>
      </w:r>
      <w:r>
        <w:rPr>
          <w:rFonts w:ascii="Times New Roman;serif" w:hAnsi="Times New Roman;serif"/>
          <w:b w:val="false"/>
          <w:color w:val="000000"/>
          <w:sz w:val="20"/>
        </w:rPr>
        <w:t>represents the aggregate marginal tax impact of each adjustment calculated using an estimated average statutory rate. Tax effect presented for the periods ending June 30, 2025 have been updated to conform with the current period methodology.</w:t>
      </w:r>
    </w:p>
    <w:p>
      <w:pPr>
        <w:pStyle w:val="TextBody"/>
        <w:bidi w:val="0"/>
        <w:spacing w:before="12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Liquidity Measures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In addition to disclosing financial results prepared in accordance with GAAP, the Company also presents non-GAAP liquidity measures, such as Adjusted Free Cash Flow, that provide an understanding of the Company's liquidity because it considers them important supplemental measures of its liquidity that are frequently used by securities analysts, investors and other interested parties in the evaluation of the Company's cash flow generation from its core operations that are then available to be deployed for strategic acquisitions, growth investments, development projects, unusual landfill closures, site improvement and remediation, and strengthening the Company’s balance sheet through paying down debt. The Company also believes that showing the impact of certain items as adjustments provides more transparency and comparability across periods. Management uses non-GAAP liquidity measures to understand the Company’s cash flow provided by operating activities after certain expenditures along with its consolidated net leverage and believes that these measures demonstrate the Company’s ability to execute on its strategic initiatives. The Company believes that providing such non-GAAP liquidity measures to investors, in addition to corresponding cash flow statement measures, affords investors the benefit of viewing the Company’s liquidity using the same financial metrics that the management team uses in making many key decisions and understanding how the core business and cash flow generation has performed. The table below, on an adjusted basis to exclude certain items, sets forth such liquidity measures:</w:t>
      </w:r>
      <w:r>
        <w:rPr>
          <w:color w:val="000000"/>
        </w:rPr>
        <w:t xml:space="preserve"> </w:t>
      </w:r>
    </w:p>
    <w:tbl>
      <w:tblPr>
        <w:tblW w:w="9569" w:type="dxa"/>
        <w:jc w:val="left"/>
        <w:tblInd w:w="0" w:type="dxa"/>
        <w:tblLayout w:type="fixed"/>
        <w:tblCellMar>
          <w:top w:w="28" w:type="dxa"/>
          <w:left w:w="28" w:type="dxa"/>
          <w:bottom w:w="28" w:type="dxa"/>
          <w:right w:w="28" w:type="dxa"/>
        </w:tblCellMar>
      </w:tblPr>
      <w:tblGrid>
        <w:gridCol w:w="1485"/>
        <w:gridCol w:w="1307"/>
        <w:gridCol w:w="1317"/>
        <w:gridCol w:w="211"/>
        <w:gridCol w:w="736"/>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54"/>
      </w:tblGrid>
      <w:tr>
        <w:trPr/>
        <w:tc>
          <w:tcPr>
            <w:tcW w:w="148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89,525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161,026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139,648</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capital expenditures (i)</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outlays for acquisition expenses (ii)</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McKean Landfill rail capital expenditures (iii)</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outlays for organics facility closure, net (iv)</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Free Cash Flow</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47,465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41,768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78,118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70,827</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450"/>
        <w:jc w:val="left"/>
        <w:rPr/>
      </w:pPr>
      <w:r>
        <w:rPr>
          <w:rFonts w:ascii="Times New Roman;serif" w:hAnsi="Times New Roman;serif"/>
          <w:b w:val="false"/>
          <w:color w:val="000000"/>
          <w:sz w:val="20"/>
        </w:rPr>
        <w:t>(i)</w:t>
      </w:r>
      <w:r>
        <w:rPr>
          <w:rFonts w:ascii="Times New Roman;serif" w:hAnsi="Times New Roman;serif"/>
          <w:b w:val="false"/>
          <w:i/>
          <w:color w:val="000000"/>
          <w:sz w:val="20"/>
        </w:rPr>
        <w:t>Acquisition capital expenditures</w:t>
      </w:r>
      <w:r>
        <w:rPr>
          <w:color w:val="000000"/>
        </w:rPr>
        <w:t xml:space="preserve"> </w:t>
      </w:r>
      <w:r>
        <w:rPr>
          <w:rFonts w:ascii="Times New Roman;serif" w:hAnsi="Times New Roman;serif"/>
          <w:b w:val="false"/>
          <w:color w:val="000000"/>
          <w:sz w:val="20"/>
        </w:rPr>
        <w:t>are acquisition-related capital expenditures that are necessary to transition and upgrade acquired assets to Company operating standards and to achieve strategic synergies associated with integrating newly acquired operations, which can be considered, together with acquisition purchase price, as part of the initial overall investment in an acquired business.</w:t>
      </w:r>
    </w:p>
    <w:p>
      <w:pPr>
        <w:pStyle w:val="TextBody"/>
        <w:bidi w:val="0"/>
        <w:spacing w:lineRule="auto" w:line="288" w:before="120" w:after="283"/>
        <w:ind w:left="0" w:right="0" w:hanging="450"/>
        <w:jc w:val="left"/>
        <w:rPr/>
      </w:pPr>
      <w:r>
        <w:rPr>
          <w:rFonts w:ascii="Times New Roman;serif" w:hAnsi="Times New Roman;serif"/>
          <w:b w:val="false"/>
          <w:color w:val="000000"/>
          <w:sz w:val="20"/>
        </w:rPr>
        <w:t>(ii)</w:t>
      </w:r>
      <w:r>
        <w:rPr>
          <w:rFonts w:ascii="Times New Roman;serif" w:hAnsi="Times New Roman;serif"/>
          <w:b w:val="false"/>
          <w:i/>
          <w:color w:val="000000"/>
          <w:sz w:val="20"/>
        </w:rPr>
        <w:t>Cash outlays for acquisition expenses</w:t>
      </w:r>
      <w:r>
        <w:rPr>
          <w:color w:val="000000"/>
        </w:rPr>
        <w:t xml:space="preserve"> </w:t>
      </w:r>
      <w:r>
        <w:rPr>
          <w:rFonts w:ascii="Times New Roman;serif" w:hAnsi="Times New Roman;serif"/>
          <w:b w:val="false"/>
          <w:color w:val="000000"/>
          <w:sz w:val="20"/>
        </w:rPr>
        <w:t xml:space="preserve">are cash outlays for transaction and integration costs relating to specific acquisition transactions and include legal, consulting, rebranding, information technology and other costs as part of the Company’s strategic growth initiative. </w:t>
      </w:r>
    </w:p>
    <w:p>
      <w:pPr>
        <w:pStyle w:val="TextBody"/>
        <w:bidi w:val="0"/>
        <w:spacing w:lineRule="auto" w:line="288" w:before="120" w:after="283"/>
        <w:ind w:left="0" w:right="0" w:hanging="450"/>
        <w:jc w:val="left"/>
        <w:rPr/>
      </w:pPr>
      <w:r>
        <w:rPr>
          <w:rFonts w:ascii="Times New Roman;serif" w:hAnsi="Times New Roman;serif"/>
          <w:b w:val="false"/>
          <w:color w:val="000000"/>
          <w:sz w:val="20"/>
        </w:rPr>
        <w:t>(iii)</w:t>
      </w:r>
      <w:r>
        <w:rPr>
          <w:rFonts w:ascii="Times New Roman;serif" w:hAnsi="Times New Roman;serif"/>
          <w:b w:val="false"/>
          <w:i/>
          <w:color w:val="000000"/>
          <w:sz w:val="20"/>
        </w:rPr>
        <w:t xml:space="preserve">McKean Landfill rail capital expenditures </w:t>
      </w:r>
      <w:r>
        <w:rPr>
          <w:rFonts w:ascii="Times New Roman;serif" w:hAnsi="Times New Roman;serif"/>
          <w:b w:val="false"/>
          <w:color w:val="000000"/>
          <w:sz w:val="20"/>
        </w:rPr>
        <w:t>are long-term infrastructure capital expenditures</w:t>
      </w:r>
      <w:r>
        <w:rPr>
          <w:color w:val="000000"/>
        </w:rPr>
        <w:t xml:space="preserve"> </w:t>
      </w:r>
      <w:r>
        <w:rPr>
          <w:rFonts w:ascii="Times New Roman;serif" w:hAnsi="Times New Roman;serif"/>
          <w:b w:val="false"/>
          <w:color w:val="000000"/>
          <w:sz w:val="20"/>
        </w:rPr>
        <w:t>related to rail side development at the Company's landfill in Mount Jewett, PA ("McKean Landfill"), which is different from the landfill construction investments in the normal course of operations.</w:t>
      </w:r>
    </w:p>
    <w:p>
      <w:pPr>
        <w:pStyle w:val="TextBody"/>
        <w:bidi w:val="0"/>
        <w:spacing w:lineRule="auto" w:line="288" w:before="120" w:after="283"/>
        <w:ind w:left="0" w:right="0" w:hanging="450"/>
        <w:jc w:val="left"/>
        <w:rPr/>
      </w:pPr>
      <w:r>
        <w:rPr>
          <w:rFonts w:ascii="Times New Roman;serif" w:hAnsi="Times New Roman;serif"/>
          <w:b w:val="false"/>
          <w:color w:val="000000"/>
          <w:sz w:val="20"/>
        </w:rPr>
        <w:t>(iv)</w:t>
      </w:r>
      <w:r>
        <w:rPr>
          <w:rFonts w:ascii="Times New Roman;serif" w:hAnsi="Times New Roman;serif"/>
          <w:b w:val="false"/>
          <w:i/>
          <w:color w:val="000000"/>
          <w:sz w:val="20"/>
        </w:rPr>
        <w:t>Cash outlays for organics facility closure, net</w:t>
      </w:r>
      <w:r>
        <w:rPr>
          <w:color w:val="000000"/>
        </w:rPr>
        <w:t xml:space="preserve"> </w:t>
      </w:r>
      <w:r>
        <w:rPr>
          <w:rFonts w:ascii="Times New Roman;serif" w:hAnsi="Times New Roman;serif"/>
          <w:b w:val="false"/>
          <w:color w:val="000000"/>
          <w:sz w:val="20"/>
        </w:rPr>
        <w:t>are net cash outlays related to us ceasing operations at an organic residuals composting facility that we own in Maine related to a change in state law prohibiting land application of biosolids based recycled products. We expect to incur cash outlays through satisfaction of the closure requirements and the soil remediation process.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Non-GAAP financial measures are not in accordance with or an alternative for GAAP. Adjusted EBITDA, Adjusted EBITDA as a percentage of revenues, Adjusted Operating Income, Adjusted Operating Income as a percentage of revenues, Adjusted Net Income, Adjusted Diluted Earnings Per Common Share, and Adjusted Free Cash Flow should not be considered in isolation from or as a substitute for financial information presented in accordance with GAAP, and may be different from Adjusted EBITDA, Adjusted EBITDA as a percentage of revenues, Adjusted Operating Income, Adjusted Operating Income as a percentage of revenues, Adjusted Net Income, Adjusted Diluted Earnings Per Common Share, and Adjusted Free Cash Flow presented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RECONCILIATION OF FISCAL YEAR 2026 OUTLOOK NON-GAAP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0"/>
        </w:rPr>
        <w:t>Following is a reconciliation of the Company's estimated Adjusted EBITDA</w:t>
      </w:r>
      <w:r>
        <w:rPr>
          <w:rFonts w:ascii="Times New Roman;serif" w:hAnsi="Times New Roman;serif"/>
          <w:b/>
          <w:color w:val="000000"/>
          <w:sz w:val="13"/>
        </w:rPr>
        <w:t>(i)</w:t>
      </w:r>
      <w:r>
        <w:rPr>
          <w:color w:val="000000"/>
        </w:rPr>
        <w:t xml:space="preserve"> </w:t>
      </w:r>
      <w:r>
        <w:rPr>
          <w:rFonts w:ascii="Times New Roman;serif" w:hAnsi="Times New Roman;serif"/>
          <w:b/>
          <w:color w:val="000000"/>
          <w:sz w:val="20"/>
        </w:rPr>
        <w:t>from estimated Net income for fiscal year 2026:</w:t>
      </w:r>
    </w:p>
    <w:tbl>
      <w:tblPr>
        <w:tblW w:w="7693" w:type="dxa"/>
        <w:jc w:val="left"/>
        <w:tblInd w:w="0" w:type="dxa"/>
        <w:tblLayout w:type="fixed"/>
        <w:tblCellMar>
          <w:top w:w="28" w:type="dxa"/>
          <w:left w:w="28" w:type="dxa"/>
          <w:bottom w:w="28" w:type="dxa"/>
          <w:right w:w="28" w:type="dxa"/>
        </w:tblCellMar>
      </w:tblPr>
      <w:tblGrid>
        <w:gridCol w:w="2108"/>
        <w:gridCol w:w="1855"/>
        <w:gridCol w:w="1871"/>
        <w:gridCol w:w="544"/>
        <w:gridCol w:w="544"/>
        <w:gridCol w:w="771"/>
      </w:tblGrid>
      <w:tr>
        <w:trPr/>
        <w:tc>
          <w:tcPr>
            <w:tcW w:w="2108"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Twelve Months Ending</w:t>
              <w:br/>
              <w:t>December 31, 2026</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18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$0 - $6,000</w:t>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7,000 - 11,000</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67,000</w:t>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from acquisition activities</w:t>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20,000</w:t>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landfill amortization</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267,000</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82,000</w:t>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of landfill operating lease obligations</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14,000</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accretion on landfill and environmental remediation liabilities</w:t>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15,000</w:t>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Organics facility closure charge, net</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85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$473,000 - $483,000</w:t>
            </w:r>
          </w:p>
        </w:tc>
      </w:tr>
    </w:tbl>
    <w:p>
      <w:pPr>
        <w:pStyle w:val="TextBody"/>
        <w:bidi w:val="0"/>
        <w:spacing w:lineRule="auto" w:line="288" w:before="240" w:after="283"/>
        <w:jc w:val="left"/>
        <w:rPr/>
      </w:pPr>
      <w:r>
        <w:rPr>
          <w:rFonts w:ascii="Times New Roman;serif" w:hAnsi="Times New Roman;serif"/>
          <w:b/>
          <w:color w:val="000000"/>
          <w:sz w:val="20"/>
        </w:rPr>
        <w:t>Following is a reconciliation of the Company's estimated Adjusted Free Cash Flow</w:t>
      </w:r>
      <w:r>
        <w:rPr>
          <w:rFonts w:ascii="Times New Roman;serif" w:hAnsi="Times New Roman;serif"/>
          <w:b/>
          <w:color w:val="000000"/>
          <w:sz w:val="13"/>
        </w:rPr>
        <w:t>(i)</w:t>
      </w:r>
      <w:r>
        <w:rPr>
          <w:color w:val="000000"/>
        </w:rPr>
        <w:t xml:space="preserve"> </w:t>
      </w:r>
      <w:r>
        <w:rPr>
          <w:rFonts w:ascii="Times New Roman;serif" w:hAnsi="Times New Roman;serif"/>
          <w:b/>
          <w:color w:val="000000"/>
          <w:sz w:val="20"/>
        </w:rPr>
        <w:t>from estimated Net cash provided by operating activities for fiscal year 2026:</w:t>
      </w:r>
    </w:p>
    <w:tbl>
      <w:tblPr>
        <w:tblW w:w="5684" w:type="dxa"/>
        <w:jc w:val="left"/>
        <w:tblInd w:w="0" w:type="dxa"/>
        <w:tblLayout w:type="fixed"/>
        <w:tblCellMar>
          <w:top w:w="28" w:type="dxa"/>
          <w:left w:w="28" w:type="dxa"/>
          <w:bottom w:w="28" w:type="dxa"/>
          <w:right w:w="28" w:type="dxa"/>
        </w:tblCellMar>
      </w:tblPr>
      <w:tblGrid>
        <w:gridCol w:w="1383"/>
        <w:gridCol w:w="1217"/>
        <w:gridCol w:w="1225"/>
        <w:gridCol w:w="544"/>
        <w:gridCol w:w="544"/>
        <w:gridCol w:w="771"/>
      </w:tblGrid>
      <w:tr>
        <w:trPr/>
        <w:tc>
          <w:tcPr>
            <w:tcW w:w="138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Twelve Months Ending</w:t>
              <w:br/>
              <w:t>December 31, 2026</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provided by operating activities </w:t>
            </w:r>
          </w:p>
        </w:tc>
        <w:tc>
          <w:tcPr>
            <w:tcW w:w="18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$370,000 - $380,000</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(275,000)</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 capital expenditures </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76,000</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outlays for acquisition expenses</w:t>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20,000</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McKean Landfill rail capital expenditures</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outlays for organics facility closure, net</w:t>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Free Cash Flow</w:t>
            </w:r>
          </w:p>
        </w:tc>
        <w:tc>
          <w:tcPr>
            <w:tcW w:w="185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$200,000 - $210,000</w:t>
            </w:r>
          </w:p>
        </w:tc>
      </w:tr>
    </w:tbl>
    <w:p>
      <w:pPr>
        <w:pStyle w:val="TextBody"/>
        <w:bidi w:val="0"/>
        <w:spacing w:lineRule="auto" w:line="288" w:before="120" w:after="283"/>
        <w:ind w:left="0" w:right="0" w:hanging="360"/>
        <w:jc w:val="left"/>
        <w:rPr/>
      </w:pPr>
      <w:r>
        <w:rPr>
          <w:rFonts w:ascii="Times New Roman;serif" w:hAnsi="Times New Roman;serif"/>
          <w:b w:val="false"/>
          <w:color w:val="000000"/>
          <w:sz w:val="20"/>
        </w:rPr>
        <w:t xml:space="preserve">(i)See footnotes for Non-GAAP Performance Measures and Non-GAAP Liquidity Measures included in the </w:t>
      </w:r>
      <w:r>
        <w:rPr>
          <w:rFonts w:ascii="Times New Roman;serif" w:hAnsi="Times New Roman;serif"/>
          <w:b w:val="false"/>
          <w:i/>
          <w:color w:val="000000"/>
          <w:sz w:val="20"/>
        </w:rPr>
        <w:t>Unaudited Reconciliation of Certain Non-GAAP Measures</w:t>
      </w:r>
      <w:r>
        <w:rPr>
          <w:color w:val="000000"/>
        </w:rPr>
        <w:t xml:space="preserve"> </w:t>
      </w:r>
      <w:r>
        <w:rPr>
          <w:rFonts w:ascii="Times New Roman;serif" w:hAnsi="Times New Roman;serif"/>
          <w:b w:val="false"/>
          <w:color w:val="000000"/>
          <w:sz w:val="20"/>
        </w:rPr>
        <w:t>for further disclosure over the nature of the various adjustments to estimated Adjusted EBITDA and estimated Adjusted Free Cash Flow.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SUPPLEMENTAL DATA TABLES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 xml:space="preserve">Amounts of total revenues attributable to services provided for the three months ended June 30, 2026 and 2025 are as follows: </w:t>
      </w:r>
    </w:p>
    <w:tbl>
      <w:tblPr>
        <w:tblW w:w="10621" w:type="dxa"/>
        <w:jc w:val="left"/>
        <w:tblInd w:w="0" w:type="dxa"/>
        <w:tblLayout w:type="fixed"/>
        <w:tblCellMar>
          <w:top w:w="28" w:type="dxa"/>
          <w:left w:w="28" w:type="dxa"/>
          <w:bottom w:w="28" w:type="dxa"/>
          <w:right w:w="28" w:type="dxa"/>
        </w:tblCellMar>
      </w:tblPr>
      <w:tblGrid>
        <w:gridCol w:w="500"/>
        <w:gridCol w:w="438"/>
        <w:gridCol w:w="383"/>
        <w:gridCol w:w="211"/>
        <w:gridCol w:w="841"/>
        <w:gridCol w:w="109"/>
        <w:gridCol w:w="109"/>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109"/>
        <w:gridCol w:w="109"/>
        <w:gridCol w:w="211"/>
        <w:gridCol w:w="841"/>
        <w:gridCol w:w="109"/>
        <w:gridCol w:w="109"/>
        <w:gridCol w:w="109"/>
        <w:gridCol w:w="109"/>
        <w:gridCol w:w="211"/>
        <w:gridCol w:w="841"/>
        <w:gridCol w:w="109"/>
        <w:gridCol w:w="109"/>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751" w:type="dxa"/>
            <w:gridSpan w:val="8"/>
            <w:tcBorders/>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1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1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751" w:type="dxa"/>
            <w:gridSpan w:val="8"/>
            <w:tcBorders/>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Intercompany </w:t>
              <w:b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Third-Party </w:t>
              <w:b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Gross </w:t>
            </w:r>
          </w:p>
          <w:p>
            <w:pPr>
              <w:pStyle w:val="TableContents"/>
              <w:bidi w:val="0"/>
              <w:spacing w:lineRule="auto" w:line="240" w:before="0" w:after="0"/>
              <w:jc w:val="center"/>
              <w:rPr/>
            </w:pPr>
            <w:r>
              <w:rPr>
                <w:rFonts w:ascii="Times New Roman;serif" w:hAnsi="Times New Roman;serif"/>
                <w:b/>
                <w:color w:val="000000"/>
                <w:sz w:val="16"/>
              </w:rPr>
              <w:t xml:space="preserve">Revenues </w:t>
            </w:r>
            <w:r>
              <w:rPr>
                <w:rFonts w:ascii="Times New Roman;serif" w:hAnsi="Times New Roman;serif"/>
                <w:b/>
                <w:color w:val="000000"/>
                <w:sz w:val="14"/>
              </w:rPr>
              <w:t>(i)</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Intercompany </w:t>
            </w:r>
          </w:p>
          <w:p>
            <w:pPr>
              <w:pStyle w:val="TableContents"/>
              <w:bidi w:val="0"/>
              <w:spacing w:lineRule="auto" w:line="240" w:before="0" w:after="0"/>
              <w:jc w:val="center"/>
              <w:rPr/>
            </w:pPr>
            <w:r>
              <w:rPr>
                <w:rFonts w:ascii="Times New Roman;serif" w:hAnsi="Times New Roman;serif"/>
                <w:b/>
                <w:color w:val="000000"/>
                <w:sz w:val="16"/>
              </w:rPr>
              <w:t xml:space="preserve">Revenues </w:t>
            </w:r>
            <w:r>
              <w:rPr>
                <w:rFonts w:ascii="Times New Roman;serif" w:hAnsi="Times New Roman;serif"/>
                <w:b/>
                <w:color w:val="000000"/>
                <w:sz w:val="14"/>
              </w:rPr>
              <w:t>(i)</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Third-Party </w:t>
              <w:br/>
              <w:t>Revenues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Landfill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Transfer station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Landfill gas-to-energy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Solid waste</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556,813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(114,626)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442,187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470,520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(96,896)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373,624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Processing (ii)</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National Accounts (ii)</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Resource Solutions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107,466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101,561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95,840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91,710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664,279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(120,531)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543,748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566,360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(101,026)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465,334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(i)Prior period amounts have been updated to correct an immaterial error by reclassifying certain intercompany amounts from contra-revenue to costs of operations.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(ii)In the three months ended March 31, 2026, we realigned a business unit related to organic materials brokerage operations within our Resource Solutions operating segment from the National Accounts service line to the processing service line. Amounts disclosed for the three months ended June 30, 2025 have been updated to conform to the current period presentation.</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Components of consolidated revenues growth for the three months ended June 30, 2026 compared to the three months ended June 30, 2025 are as follows:</w:t>
      </w:r>
    </w:p>
    <w:tbl>
      <w:tblPr>
        <w:tblW w:w="6492" w:type="dxa"/>
        <w:jc w:val="left"/>
        <w:tblInd w:w="0" w:type="dxa"/>
        <w:tblLayout w:type="fixed"/>
        <w:tblCellMar>
          <w:top w:w="28" w:type="dxa"/>
          <w:left w:w="28" w:type="dxa"/>
          <w:bottom w:w="28" w:type="dxa"/>
          <w:right w:w="28" w:type="dxa"/>
        </w:tblCellMar>
      </w:tblPr>
      <w:tblGrid>
        <w:gridCol w:w="1353"/>
        <w:gridCol w:w="1189"/>
        <w:gridCol w:w="1192"/>
        <w:gridCol w:w="211"/>
        <w:gridCol w:w="736"/>
        <w:gridCol w:w="109"/>
        <w:gridCol w:w="109"/>
        <w:gridCol w:w="109"/>
        <w:gridCol w:w="109"/>
        <w:gridCol w:w="254"/>
        <w:gridCol w:w="257"/>
        <w:gridCol w:w="383"/>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Related</w:t>
              <w:br/>
              <w:t>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Solid waste operations: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Disposal:</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Landfill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Transfer Station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Disposal</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Solid waste price</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Collection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Disposal:</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Landfill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Transfer Station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Disposal</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Solid waste volume</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Intercompany transfers to National Accounts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Surcharges and other fees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price and volume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solid waste operations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68,563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Resource Solutions operations: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National Accounts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Resource Solutions price</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National Accounts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Resource Solutions volume</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Intercompany transfers from solid waste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Surcharges and other fees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Facility closure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Resource Solutions operations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9,851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Company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78,414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(i)Includes transportation, landfill gas-to-energy and processing services for solid waste.</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Components of capital expenditures</w:t>
      </w:r>
      <w:r>
        <w:rPr>
          <w:rFonts w:ascii="Times New Roman;serif" w:hAnsi="Times New Roman;serif"/>
          <w:b/>
          <w:color w:val="000000"/>
          <w:sz w:val="13"/>
        </w:rPr>
        <w:t>(i)</w:t>
      </w:r>
      <w:r>
        <w:rPr>
          <w:color w:val="000000"/>
        </w:rPr>
        <w:t xml:space="preserve"> </w:t>
      </w:r>
      <w:r>
        <w:rPr>
          <w:rFonts w:ascii="Times New Roman;serif" w:hAnsi="Times New Roman;serif"/>
          <w:b/>
          <w:color w:val="000000"/>
          <w:sz w:val="20"/>
        </w:rPr>
        <w:t>for the three and six months ended June 30, 2026 and 2025 are as follows:</w:t>
      </w:r>
    </w:p>
    <w:tbl>
      <w:tblPr>
        <w:tblW w:w="9419" w:type="dxa"/>
        <w:jc w:val="left"/>
        <w:tblInd w:w="0" w:type="dxa"/>
        <w:tblLayout w:type="fixed"/>
        <w:tblCellMar>
          <w:top w:w="28" w:type="dxa"/>
          <w:left w:w="28" w:type="dxa"/>
          <w:bottom w:w="28" w:type="dxa"/>
          <w:right w:w="28" w:type="dxa"/>
        </w:tblCellMar>
      </w:tblPr>
      <w:tblGrid>
        <w:gridCol w:w="1434"/>
        <w:gridCol w:w="1258"/>
        <w:gridCol w:w="1267"/>
        <w:gridCol w:w="211"/>
        <w:gridCol w:w="736"/>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Growth capital expenditures: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McKean Landfill rail capital expenditures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Growth capital expenditures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47,532</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Replacement capital expenditures: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development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 machinery, equipment and containers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Replacement capital expenditures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48,152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46,305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81,891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74,346</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72,309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66,403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122,288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121,878</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ind w:left="0" w:right="0" w:hanging="360"/>
        <w:jc w:val="left"/>
        <w:rPr/>
      </w:pPr>
      <w:r>
        <w:rPr>
          <w:rFonts w:ascii="Times New Roman;serif" w:hAnsi="Times New Roman;serif"/>
          <w:b w:val="false"/>
          <w:color w:val="000000"/>
          <w:sz w:val="20"/>
        </w:rPr>
        <w:t xml:space="preserve">(i)The Company's capital expenditures are broadly defined as pertaining to either growth or replacement activities. </w:t>
      </w:r>
      <w:r>
        <w:rPr>
          <w:rFonts w:ascii="Times New Roman;serif" w:hAnsi="Times New Roman;serif"/>
          <w:b w:val="false"/>
          <w:i/>
          <w:color w:val="000000"/>
          <w:sz w:val="20"/>
        </w:rPr>
        <w:t>Growth capital expenditures</w:t>
      </w:r>
      <w:r>
        <w:rPr>
          <w:color w:val="000000"/>
        </w:rPr>
        <w:t xml:space="preserve"> </w:t>
      </w:r>
      <w:r>
        <w:rPr>
          <w:rFonts w:ascii="Times New Roman;serif" w:hAnsi="Times New Roman;serif"/>
          <w:b w:val="false"/>
          <w:color w:val="000000"/>
          <w:sz w:val="20"/>
        </w:rPr>
        <w:t xml:space="preserve">are defined as costs related to development projects, organic business growth, and the integration of newly acquired operations. Growth capital expenditures include costs related to the following: 1) acquisition capital expenditures that are necessary to transition and upgrade acquired assets to Company operating standards and to achieve strategic synergies associated with integrating newly acquired operations, which can be considered, together with acquisition purchase price, as part of the initial overall investment in an acquired business; 2) McKean Landfill rail capital expenditures, which is unique and different from landfill construction investments in the normal course of operations because the Company is investing in long-term infrastructure; and 3) development of landfill permit expansions, investment in infrastructure to increase throughput at transfer stations and recycling and other processing facilities, capital expenditures for new equipment, such as trucks, containers or compactors, to support new contracts or other organic business growth, and other development projects in support of our growth strategies. </w:t>
      </w:r>
      <w:r>
        <w:rPr>
          <w:rFonts w:ascii="Times New Roman;serif" w:hAnsi="Times New Roman;serif"/>
          <w:b w:val="false"/>
          <w:i/>
          <w:color w:val="000000"/>
          <w:sz w:val="20"/>
        </w:rPr>
        <w:t>Replacement capital expenditures</w:t>
      </w:r>
      <w:r>
        <w:rPr>
          <w:color w:val="000000"/>
        </w:rPr>
        <w:t xml:space="preserve"> </w:t>
      </w:r>
      <w:r>
        <w:rPr>
          <w:rFonts w:ascii="Times New Roman;serif" w:hAnsi="Times New Roman;serif"/>
          <w:b w:val="false"/>
          <w:color w:val="000000"/>
          <w:sz w:val="20"/>
        </w:rPr>
        <w:t xml:space="preserve">are defined as landfill cell construction costs not related to expansion airspace, costs for normal permit renewals, replacement costs for equipment and other capital expenditures due to age or obsolescence, and capital items not otherwise defined as growth capital expenditures. </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5472</Words>
  <Characters>32144</Characters>
  <CharactersWithSpaces>37027</CharactersWithSpaces>
  <Paragraphs>1073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